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430"/>
        <w:gridCol w:w="4499"/>
      </w:tblGrid>
      <w:tr w:rsidR="007F17B6" w:rsidRPr="00034767" w14:paraId="5A0D51B9" w14:textId="77777777" w:rsidTr="007F17B6">
        <w:tc>
          <w:tcPr>
            <w:tcW w:w="4535" w:type="dxa"/>
            <w:vMerge w:val="restart"/>
          </w:tcPr>
          <w:p w14:paraId="0FF2A070" w14:textId="77777777" w:rsidR="007F17B6" w:rsidRPr="00034767" w:rsidRDefault="007F17B6" w:rsidP="00096860">
            <w:pPr>
              <w:spacing w:line="240" w:lineRule="auto"/>
              <w:jc w:val="both"/>
              <w:rPr>
                <w:sz w:val="24"/>
                <w:szCs w:val="24"/>
                <w:lang w:val="sl-SI"/>
              </w:rPr>
            </w:pPr>
          </w:p>
        </w:tc>
        <w:tc>
          <w:tcPr>
            <w:tcW w:w="4535" w:type="dxa"/>
          </w:tcPr>
          <w:p w14:paraId="6A019711" w14:textId="12B9EEAE" w:rsidR="007F17B6" w:rsidRPr="00EA3ACB" w:rsidRDefault="00EA3ACB" w:rsidP="00246A5A">
            <w:pPr>
              <w:spacing w:line="240" w:lineRule="auto"/>
              <w:ind w:left="1986"/>
              <w:jc w:val="both"/>
              <w:rPr>
                <w:lang w:val="sl-SI"/>
              </w:rPr>
            </w:pPr>
            <w:r w:rsidRPr="00EA3ACB">
              <w:rPr>
                <w:lang w:val="sl-SI"/>
              </w:rPr>
              <w:t>Številka:</w:t>
            </w:r>
            <w:r>
              <w:rPr>
                <w:lang w:val="sl-SI"/>
              </w:rPr>
              <w:t xml:space="preserve"> 3832-</w:t>
            </w:r>
            <w:r w:rsidR="00B1515D">
              <w:rPr>
                <w:lang w:val="sl-SI"/>
              </w:rPr>
              <w:t>36/2022/3</w:t>
            </w:r>
          </w:p>
        </w:tc>
      </w:tr>
      <w:tr w:rsidR="007F17B6" w:rsidRPr="00034767" w14:paraId="19007DE6" w14:textId="77777777" w:rsidTr="001717CF">
        <w:trPr>
          <w:trHeight w:val="58"/>
        </w:trPr>
        <w:tc>
          <w:tcPr>
            <w:tcW w:w="4535" w:type="dxa"/>
            <w:vMerge/>
          </w:tcPr>
          <w:p w14:paraId="4C050B49" w14:textId="77777777" w:rsidR="007F17B6" w:rsidRPr="00034767" w:rsidRDefault="007F17B6" w:rsidP="00096860">
            <w:pPr>
              <w:spacing w:line="240" w:lineRule="auto"/>
              <w:jc w:val="both"/>
              <w:rPr>
                <w:sz w:val="24"/>
                <w:szCs w:val="24"/>
                <w:lang w:val="sl-SI"/>
              </w:rPr>
            </w:pPr>
          </w:p>
        </w:tc>
        <w:tc>
          <w:tcPr>
            <w:tcW w:w="4535" w:type="dxa"/>
          </w:tcPr>
          <w:p w14:paraId="788ECAA1" w14:textId="77777777" w:rsidR="007F17B6" w:rsidRPr="00EA3ACB" w:rsidRDefault="00EA3ACB" w:rsidP="00246A5A">
            <w:pPr>
              <w:spacing w:line="240" w:lineRule="auto"/>
              <w:ind w:left="1986"/>
              <w:jc w:val="both"/>
              <w:rPr>
                <w:lang w:val="sl-SI"/>
              </w:rPr>
            </w:pPr>
            <w:r>
              <w:rPr>
                <w:lang w:val="sl-SI"/>
              </w:rPr>
              <w:t xml:space="preserve">Datum: 4. 1.2023 </w:t>
            </w:r>
          </w:p>
        </w:tc>
      </w:tr>
      <w:tr w:rsidR="007F17B6" w:rsidRPr="00034767" w14:paraId="585F6DF8" w14:textId="77777777" w:rsidTr="007F17B6">
        <w:tc>
          <w:tcPr>
            <w:tcW w:w="4535" w:type="dxa"/>
            <w:vMerge/>
          </w:tcPr>
          <w:p w14:paraId="42EA9A53" w14:textId="77777777" w:rsidR="007F17B6" w:rsidRPr="00034767" w:rsidRDefault="007F17B6" w:rsidP="00096860">
            <w:pPr>
              <w:spacing w:line="240" w:lineRule="auto"/>
              <w:jc w:val="both"/>
              <w:rPr>
                <w:sz w:val="24"/>
                <w:szCs w:val="24"/>
                <w:lang w:val="sl-SI"/>
              </w:rPr>
            </w:pPr>
          </w:p>
        </w:tc>
        <w:tc>
          <w:tcPr>
            <w:tcW w:w="4535" w:type="dxa"/>
          </w:tcPr>
          <w:p w14:paraId="3D2F3DB7" w14:textId="77777777" w:rsidR="007F17B6" w:rsidRPr="00034767" w:rsidRDefault="007F17B6" w:rsidP="00246A5A">
            <w:pPr>
              <w:spacing w:line="240" w:lineRule="auto"/>
              <w:ind w:left="1986"/>
              <w:jc w:val="both"/>
              <w:rPr>
                <w:sz w:val="24"/>
                <w:szCs w:val="24"/>
                <w:lang w:val="sl-SI"/>
              </w:rPr>
            </w:pPr>
          </w:p>
        </w:tc>
      </w:tr>
      <w:tr w:rsidR="007F17B6" w:rsidRPr="00034767" w14:paraId="7C3AD48C" w14:textId="77777777" w:rsidTr="007F17B6">
        <w:tc>
          <w:tcPr>
            <w:tcW w:w="4535" w:type="dxa"/>
            <w:vMerge/>
          </w:tcPr>
          <w:p w14:paraId="600AB0CA" w14:textId="77777777" w:rsidR="007F17B6" w:rsidRPr="00034767" w:rsidRDefault="007F17B6" w:rsidP="00096860">
            <w:pPr>
              <w:spacing w:line="240" w:lineRule="auto"/>
              <w:jc w:val="both"/>
              <w:rPr>
                <w:sz w:val="24"/>
                <w:szCs w:val="24"/>
                <w:lang w:val="sl-SI"/>
              </w:rPr>
            </w:pPr>
          </w:p>
        </w:tc>
        <w:tc>
          <w:tcPr>
            <w:tcW w:w="4535" w:type="dxa"/>
          </w:tcPr>
          <w:p w14:paraId="152D0C3A" w14:textId="77777777" w:rsidR="007F17B6" w:rsidRPr="00034767" w:rsidRDefault="007F17B6" w:rsidP="00C93A54">
            <w:pPr>
              <w:spacing w:line="240" w:lineRule="auto"/>
              <w:ind w:left="1986"/>
              <w:jc w:val="both"/>
              <w:rPr>
                <w:sz w:val="24"/>
                <w:szCs w:val="24"/>
                <w:lang w:val="sl-SI"/>
              </w:rPr>
            </w:pPr>
          </w:p>
        </w:tc>
      </w:tr>
      <w:tr w:rsidR="007F17B6" w:rsidRPr="00034767" w14:paraId="5DBEE46B" w14:textId="77777777" w:rsidTr="007F17B6">
        <w:tc>
          <w:tcPr>
            <w:tcW w:w="4535" w:type="dxa"/>
            <w:vMerge/>
          </w:tcPr>
          <w:p w14:paraId="77F90A00" w14:textId="77777777" w:rsidR="007F17B6" w:rsidRPr="00034767" w:rsidRDefault="007F17B6" w:rsidP="00096860">
            <w:pPr>
              <w:spacing w:line="240" w:lineRule="auto"/>
              <w:jc w:val="both"/>
              <w:rPr>
                <w:sz w:val="24"/>
                <w:szCs w:val="24"/>
                <w:lang w:val="sl-SI"/>
              </w:rPr>
            </w:pPr>
          </w:p>
        </w:tc>
        <w:tc>
          <w:tcPr>
            <w:tcW w:w="4535" w:type="dxa"/>
          </w:tcPr>
          <w:p w14:paraId="280187AE" w14:textId="77777777" w:rsidR="007F17B6" w:rsidRPr="00034767" w:rsidRDefault="007F17B6" w:rsidP="00C93A54">
            <w:pPr>
              <w:spacing w:line="240" w:lineRule="auto"/>
              <w:ind w:left="1986"/>
              <w:jc w:val="both"/>
              <w:rPr>
                <w:sz w:val="24"/>
                <w:szCs w:val="24"/>
                <w:lang w:val="sl-SI"/>
              </w:rPr>
            </w:pPr>
          </w:p>
        </w:tc>
      </w:tr>
    </w:tbl>
    <w:p w14:paraId="7F4DBE46" w14:textId="77777777" w:rsidR="000939E8" w:rsidRPr="00754BB2" w:rsidRDefault="008C600E" w:rsidP="00F24871">
      <w:pPr>
        <w:spacing w:line="240" w:lineRule="auto"/>
        <w:jc w:val="both"/>
        <w:rPr>
          <w:b/>
          <w:sz w:val="22"/>
          <w:szCs w:val="22"/>
          <w:lang w:val="sl-SI"/>
        </w:rPr>
      </w:pPr>
      <w:r w:rsidRPr="00754BB2">
        <w:rPr>
          <w:sz w:val="24"/>
          <w:szCs w:val="24"/>
          <w:lang w:val="sl-SI"/>
        </w:rPr>
        <w:t>Zadeva</w:t>
      </w:r>
      <w:r w:rsidR="000F3A46" w:rsidRPr="00754BB2">
        <w:rPr>
          <w:sz w:val="24"/>
          <w:szCs w:val="24"/>
          <w:lang w:val="sl-SI"/>
        </w:rPr>
        <w:t>:</w:t>
      </w:r>
      <w:r w:rsidR="00F24871" w:rsidRPr="00754BB2">
        <w:rPr>
          <w:sz w:val="24"/>
          <w:szCs w:val="24"/>
          <w:lang w:val="sl-SI"/>
        </w:rPr>
        <w:t xml:space="preserve"> </w:t>
      </w:r>
      <w:r w:rsidR="0070618B" w:rsidRPr="00754BB2">
        <w:rPr>
          <w:sz w:val="24"/>
          <w:szCs w:val="24"/>
          <w:lang w:val="sl-SI"/>
        </w:rPr>
        <w:t xml:space="preserve"> </w:t>
      </w:r>
      <w:r w:rsidR="00F24871" w:rsidRPr="00754BB2">
        <w:rPr>
          <w:b/>
          <w:sz w:val="24"/>
          <w:szCs w:val="24"/>
          <w:lang w:val="sl-SI"/>
        </w:rPr>
        <w:t>Zadeva: Odgovori na prejete pripombe na izračun tehtanega povprečnega</w:t>
      </w:r>
      <w:r w:rsidR="00AE5024">
        <w:rPr>
          <w:b/>
          <w:sz w:val="24"/>
          <w:szCs w:val="24"/>
          <w:lang w:val="sl-SI"/>
        </w:rPr>
        <w:t xml:space="preserve"> </w:t>
      </w:r>
      <w:r w:rsidR="00F24871" w:rsidRPr="00754BB2">
        <w:rPr>
          <w:b/>
          <w:sz w:val="24"/>
          <w:szCs w:val="24"/>
          <w:lang w:val="sl-SI"/>
        </w:rPr>
        <w:t>stroška kapitala (WACC) za izvajanje univerzalne poštne storitve Pošte</w:t>
      </w:r>
      <w:r w:rsidR="00AE5024">
        <w:rPr>
          <w:b/>
          <w:sz w:val="24"/>
          <w:szCs w:val="24"/>
          <w:lang w:val="sl-SI"/>
        </w:rPr>
        <w:t xml:space="preserve"> </w:t>
      </w:r>
      <w:r w:rsidR="00F24871" w:rsidRPr="00754BB2">
        <w:rPr>
          <w:b/>
          <w:sz w:val="24"/>
          <w:szCs w:val="24"/>
          <w:lang w:val="sl-SI"/>
        </w:rPr>
        <w:t>Slov</w:t>
      </w:r>
      <w:r w:rsidR="00AE5024">
        <w:rPr>
          <w:b/>
          <w:sz w:val="24"/>
          <w:szCs w:val="24"/>
          <w:lang w:val="sl-SI"/>
        </w:rPr>
        <w:t>enije d.o.o. na dan 31. 12. 2021</w:t>
      </w:r>
    </w:p>
    <w:p w14:paraId="648988BA" w14:textId="77777777" w:rsidR="002840D9" w:rsidRPr="00754BB2" w:rsidRDefault="002840D9" w:rsidP="002840D9">
      <w:pPr>
        <w:spacing w:line="240" w:lineRule="auto"/>
        <w:jc w:val="both"/>
        <w:rPr>
          <w:rFonts w:cstheme="minorHAnsi"/>
          <w:sz w:val="22"/>
          <w:lang w:val="sl-SI"/>
        </w:rPr>
      </w:pPr>
    </w:p>
    <w:p w14:paraId="43D47953" w14:textId="77777777" w:rsidR="006E1F9E" w:rsidRDefault="006E1F9E" w:rsidP="00754BB2">
      <w:pPr>
        <w:spacing w:line="240" w:lineRule="auto"/>
        <w:jc w:val="both"/>
        <w:rPr>
          <w:sz w:val="22"/>
          <w:szCs w:val="22"/>
          <w:lang w:val="sl-SI"/>
        </w:rPr>
      </w:pPr>
      <w:r w:rsidRPr="00754BB2">
        <w:rPr>
          <w:sz w:val="22"/>
          <w:szCs w:val="22"/>
          <w:lang w:val="sl-SI"/>
        </w:rPr>
        <w:t>Agencija za komunikacijska omrežja in storitve Republike Slovenije (v nadaljevanju: agencija) je s pomočjo neodvisnega zunanjega finančnega svetovalca izvedla izračun tehtanega povprečnega stroška kapitala (v nadaljevanju: WACC) za izvajanje univerzalne poštne storitve Pošte Slovenije, d. o. o. (v nadaljevanju: Pošta Slovenij</w:t>
      </w:r>
      <w:r w:rsidR="00AE5024">
        <w:rPr>
          <w:sz w:val="22"/>
          <w:szCs w:val="22"/>
          <w:lang w:val="sl-SI"/>
        </w:rPr>
        <w:t>e), in sicer na dan 31. 12. 2021 znaša WACC 6,9</w:t>
      </w:r>
      <w:r w:rsidRPr="00754BB2">
        <w:rPr>
          <w:sz w:val="22"/>
          <w:szCs w:val="22"/>
          <w:lang w:val="sl-SI"/>
        </w:rPr>
        <w:t xml:space="preserve"> %. Uporaba WACC za izračun stroškov kapitala je opredeljena v drugem odstavku 5. člena Splošnega akta o ločenih računovodskih evidencah in prepovedi subvencioniranja (Uradni list RS, št. 29/10).</w:t>
      </w:r>
    </w:p>
    <w:p w14:paraId="493F46DC" w14:textId="77777777" w:rsidR="00DF3E67" w:rsidRDefault="00DF3E67" w:rsidP="00754BB2">
      <w:pPr>
        <w:spacing w:line="240" w:lineRule="auto"/>
        <w:jc w:val="both"/>
        <w:rPr>
          <w:sz w:val="22"/>
          <w:szCs w:val="22"/>
          <w:lang w:val="sl-SI"/>
        </w:rPr>
      </w:pPr>
    </w:p>
    <w:p w14:paraId="1B8E3A5E" w14:textId="77777777" w:rsidR="00DF3E67" w:rsidRDefault="00EC3705" w:rsidP="00754BB2">
      <w:pPr>
        <w:spacing w:line="240" w:lineRule="auto"/>
        <w:jc w:val="both"/>
        <w:rPr>
          <w:sz w:val="22"/>
          <w:szCs w:val="22"/>
          <w:lang w:val="sl-SI"/>
        </w:rPr>
      </w:pPr>
      <w:r>
        <w:rPr>
          <w:sz w:val="22"/>
          <w:szCs w:val="22"/>
          <w:lang w:val="sl-SI"/>
        </w:rPr>
        <w:t>Agencija je 15. novembra</w:t>
      </w:r>
      <w:r w:rsidR="00DF3E67">
        <w:rPr>
          <w:sz w:val="22"/>
          <w:szCs w:val="22"/>
          <w:lang w:val="sl-SI"/>
        </w:rPr>
        <w:t xml:space="preserve"> 2022 na spletni strani objavila izračun WACC za izvajanje univerzalne poštne storitve Pošte Slovenije na dan 31. 12. 2021 in pozvala zainteresirano javnost,</w:t>
      </w:r>
      <w:r>
        <w:rPr>
          <w:sz w:val="22"/>
          <w:szCs w:val="22"/>
          <w:lang w:val="sl-SI"/>
        </w:rPr>
        <w:t xml:space="preserve"> da do vključno 15. decembra</w:t>
      </w:r>
      <w:r w:rsidR="00DF3E67">
        <w:rPr>
          <w:sz w:val="22"/>
          <w:szCs w:val="22"/>
          <w:lang w:val="sl-SI"/>
        </w:rPr>
        <w:t xml:space="preserve"> 2022 posreduje pripombe, predloge ali dopolnitve. Do izteka roka je pripombe posredovale le Pošta Slovenije. Agencija je prejete pripombe objavila</w:t>
      </w:r>
      <w:r w:rsidR="00C97899">
        <w:rPr>
          <w:sz w:val="22"/>
          <w:szCs w:val="22"/>
          <w:lang w:val="sl-SI"/>
        </w:rPr>
        <w:t xml:space="preserve"> na svoji spletni strani 21. decembra</w:t>
      </w:r>
      <w:r w:rsidR="00DF3E67">
        <w:rPr>
          <w:sz w:val="22"/>
          <w:szCs w:val="22"/>
          <w:lang w:val="sl-SI"/>
        </w:rPr>
        <w:t xml:space="preserve"> 2022, v nadaljevanju pa podaja odgovore nanje.</w:t>
      </w:r>
    </w:p>
    <w:p w14:paraId="3A61F6D3" w14:textId="77777777" w:rsidR="004B275D" w:rsidRDefault="004B275D" w:rsidP="00754BB2">
      <w:pPr>
        <w:spacing w:line="240" w:lineRule="auto"/>
        <w:jc w:val="both"/>
        <w:rPr>
          <w:sz w:val="22"/>
          <w:szCs w:val="22"/>
          <w:lang w:val="sl-SI"/>
        </w:rPr>
      </w:pPr>
    </w:p>
    <w:p w14:paraId="5B46CBDA" w14:textId="68F38259" w:rsidR="004054AA" w:rsidRDefault="004054AA" w:rsidP="00754BB2">
      <w:pPr>
        <w:spacing w:line="240" w:lineRule="auto"/>
        <w:jc w:val="both"/>
        <w:rPr>
          <w:sz w:val="22"/>
          <w:szCs w:val="22"/>
          <w:lang w:val="sl-SI"/>
        </w:rPr>
      </w:pPr>
      <w:r>
        <w:rPr>
          <w:sz w:val="22"/>
          <w:szCs w:val="22"/>
          <w:lang w:val="sl-SI"/>
        </w:rPr>
        <w:t>Pošta Slovenije je podala pripombo, da je agencija ni obvestila o izračunu neposredno, prav tako ji ni dala statusa stranke v postopku temveč samo zainteresirane javnosti.</w:t>
      </w:r>
    </w:p>
    <w:p w14:paraId="60DC7569" w14:textId="7E8197D4" w:rsidR="00B1515D" w:rsidRDefault="00B1515D" w:rsidP="00754BB2">
      <w:pPr>
        <w:spacing w:line="240" w:lineRule="auto"/>
        <w:jc w:val="both"/>
        <w:rPr>
          <w:sz w:val="22"/>
          <w:szCs w:val="22"/>
          <w:lang w:val="sl-SI"/>
        </w:rPr>
      </w:pPr>
    </w:p>
    <w:p w14:paraId="4CAA8C36" w14:textId="6289872B" w:rsidR="00B1515D" w:rsidRDefault="00B1515D" w:rsidP="00754BB2">
      <w:pPr>
        <w:spacing w:line="240" w:lineRule="auto"/>
        <w:jc w:val="both"/>
        <w:rPr>
          <w:sz w:val="22"/>
          <w:szCs w:val="22"/>
          <w:lang w:val="sl-SI"/>
        </w:rPr>
      </w:pPr>
      <w:r>
        <w:rPr>
          <w:sz w:val="22"/>
          <w:szCs w:val="22"/>
          <w:lang w:val="sl-SI"/>
        </w:rPr>
        <w:t xml:space="preserve">Agencija pojasnjuje, da izračun WACC-a ni </w:t>
      </w:r>
      <w:r w:rsidR="0072526B">
        <w:rPr>
          <w:sz w:val="22"/>
          <w:szCs w:val="22"/>
          <w:lang w:val="sl-SI"/>
        </w:rPr>
        <w:t>upravni postopek, zato agencija s pomočjo mehanizma javnih naročil, odda izračun WACC-a izbranemu neodvisnemu zunanjemu finančnemu izvajalcu</w:t>
      </w:r>
      <w:r w:rsidR="007F47D8">
        <w:rPr>
          <w:sz w:val="22"/>
          <w:szCs w:val="22"/>
          <w:lang w:val="sl-SI"/>
        </w:rPr>
        <w:t xml:space="preserve">. Agencija izračun preveri </w:t>
      </w:r>
      <w:bookmarkStart w:id="0" w:name="_GoBack"/>
      <w:bookmarkEnd w:id="0"/>
      <w:r w:rsidR="0072526B">
        <w:rPr>
          <w:sz w:val="22"/>
          <w:szCs w:val="22"/>
          <w:lang w:val="sl-SI"/>
        </w:rPr>
        <w:t>ter ga na svoji spletni strani posreduje v javno obravnavo.</w:t>
      </w:r>
    </w:p>
    <w:p w14:paraId="460743CF" w14:textId="77777777" w:rsidR="004054AA" w:rsidRDefault="004054AA" w:rsidP="00754BB2">
      <w:pPr>
        <w:spacing w:line="240" w:lineRule="auto"/>
        <w:jc w:val="both"/>
        <w:rPr>
          <w:sz w:val="22"/>
          <w:szCs w:val="22"/>
          <w:lang w:val="sl-SI"/>
        </w:rPr>
      </w:pPr>
    </w:p>
    <w:p w14:paraId="1FC13F55" w14:textId="6FA1FA2A" w:rsidR="00B63BE5" w:rsidRDefault="004B275D" w:rsidP="00754BB2">
      <w:pPr>
        <w:spacing w:line="240" w:lineRule="auto"/>
        <w:jc w:val="both"/>
        <w:rPr>
          <w:sz w:val="22"/>
          <w:szCs w:val="22"/>
          <w:lang w:val="sl-SI"/>
        </w:rPr>
      </w:pPr>
      <w:r>
        <w:rPr>
          <w:sz w:val="22"/>
          <w:szCs w:val="22"/>
          <w:lang w:val="sl-SI"/>
        </w:rPr>
        <w:t>Pošta Slovenije podaja pripombo, da WACC za leto 2021, ki ga uporabijo pri vlogi za spremembo cen v sredini leta 2023</w:t>
      </w:r>
      <w:r w:rsidR="004054AA">
        <w:rPr>
          <w:sz w:val="22"/>
          <w:szCs w:val="22"/>
          <w:lang w:val="sl-SI"/>
        </w:rPr>
        <w:t>,</w:t>
      </w:r>
      <w:r>
        <w:rPr>
          <w:sz w:val="22"/>
          <w:szCs w:val="22"/>
          <w:lang w:val="sl-SI"/>
        </w:rPr>
        <w:t xml:space="preserve"> ni več najprimernejši</w:t>
      </w:r>
      <w:r w:rsidR="004054AA">
        <w:rPr>
          <w:sz w:val="22"/>
          <w:szCs w:val="22"/>
          <w:lang w:val="sl-SI"/>
        </w:rPr>
        <w:t xml:space="preserve"> in sicer</w:t>
      </w:r>
      <w:r>
        <w:rPr>
          <w:sz w:val="22"/>
          <w:szCs w:val="22"/>
          <w:lang w:val="sl-SI"/>
        </w:rPr>
        <w:t xml:space="preserve"> zaradi velike </w:t>
      </w:r>
      <w:r w:rsidR="00E048D8">
        <w:rPr>
          <w:sz w:val="22"/>
          <w:szCs w:val="22"/>
          <w:lang w:val="sl-SI"/>
        </w:rPr>
        <w:t>krepitve inflacije</w:t>
      </w:r>
      <w:r>
        <w:rPr>
          <w:sz w:val="22"/>
          <w:szCs w:val="22"/>
          <w:lang w:val="sl-SI"/>
        </w:rPr>
        <w:t xml:space="preserve">, ki </w:t>
      </w:r>
      <w:r w:rsidR="00E048D8">
        <w:rPr>
          <w:sz w:val="22"/>
          <w:szCs w:val="22"/>
          <w:lang w:val="sl-SI"/>
        </w:rPr>
        <w:t xml:space="preserve">je </w:t>
      </w:r>
      <w:r>
        <w:rPr>
          <w:sz w:val="22"/>
          <w:szCs w:val="22"/>
          <w:lang w:val="sl-SI"/>
        </w:rPr>
        <w:t xml:space="preserve">posledica </w:t>
      </w:r>
      <w:r w:rsidR="004E70ED">
        <w:rPr>
          <w:sz w:val="22"/>
          <w:szCs w:val="22"/>
          <w:lang w:val="sl-SI"/>
        </w:rPr>
        <w:t xml:space="preserve">ruske vojaške agresije na Ukrajino. </w:t>
      </w:r>
      <w:r w:rsidR="00B63BE5">
        <w:rPr>
          <w:sz w:val="22"/>
          <w:szCs w:val="22"/>
          <w:lang w:val="sl-SI"/>
        </w:rPr>
        <w:t xml:space="preserve">V nadaljevanju Pošta Slovenije navaja </w:t>
      </w:r>
      <w:r w:rsidR="00E048D8">
        <w:rPr>
          <w:sz w:val="22"/>
          <w:szCs w:val="22"/>
          <w:lang w:val="sl-SI"/>
        </w:rPr>
        <w:t>obdobne</w:t>
      </w:r>
      <w:r w:rsidR="00B63BE5">
        <w:rPr>
          <w:sz w:val="22"/>
          <w:szCs w:val="22"/>
          <w:lang w:val="sl-SI"/>
        </w:rPr>
        <w:t xml:space="preserve"> spremembe spremenljivk, ki so potrebne za izračun stopnje WACC;</w:t>
      </w:r>
    </w:p>
    <w:p w14:paraId="53A75F44" w14:textId="77777777" w:rsidR="004B275D" w:rsidRDefault="00B63BE5" w:rsidP="00B63BE5">
      <w:pPr>
        <w:pStyle w:val="Odstavekseznama"/>
        <w:numPr>
          <w:ilvl w:val="0"/>
          <w:numId w:val="3"/>
        </w:numPr>
        <w:spacing w:line="240" w:lineRule="auto"/>
        <w:jc w:val="both"/>
        <w:rPr>
          <w:sz w:val="22"/>
          <w:szCs w:val="22"/>
          <w:lang w:val="sl-SI"/>
        </w:rPr>
      </w:pPr>
      <w:r w:rsidRPr="00B63BE5">
        <w:rPr>
          <w:sz w:val="22"/>
          <w:szCs w:val="22"/>
          <w:lang w:val="sl-SI"/>
        </w:rPr>
        <w:t>netvegane stopnje donosa 31. 12. 2021</w:t>
      </w:r>
      <w:r>
        <w:rPr>
          <w:sz w:val="22"/>
          <w:szCs w:val="22"/>
          <w:lang w:val="sl-SI"/>
        </w:rPr>
        <w:t xml:space="preserve"> = </w:t>
      </w:r>
      <w:r w:rsidRPr="00B63BE5">
        <w:rPr>
          <w:sz w:val="22"/>
          <w:szCs w:val="22"/>
          <w:lang w:val="sl-SI"/>
        </w:rPr>
        <w:t>1,5</w:t>
      </w:r>
      <w:r>
        <w:rPr>
          <w:sz w:val="22"/>
          <w:szCs w:val="22"/>
          <w:lang w:val="sl-SI"/>
        </w:rPr>
        <w:t>0</w:t>
      </w:r>
      <w:r w:rsidRPr="00B63BE5">
        <w:rPr>
          <w:sz w:val="22"/>
          <w:szCs w:val="22"/>
          <w:lang w:val="sl-SI"/>
        </w:rPr>
        <w:t xml:space="preserve"> %</w:t>
      </w:r>
      <w:r>
        <w:rPr>
          <w:sz w:val="22"/>
          <w:szCs w:val="22"/>
          <w:lang w:val="sl-SI"/>
        </w:rPr>
        <w:t xml:space="preserve"> </w:t>
      </w:r>
      <w:r w:rsidRPr="00B63BE5">
        <w:rPr>
          <w:sz w:val="22"/>
          <w:szCs w:val="22"/>
          <w:lang w:val="sl-SI"/>
        </w:rPr>
        <w:t>: 30. 6. 2022</w:t>
      </w:r>
      <w:r>
        <w:rPr>
          <w:sz w:val="22"/>
          <w:szCs w:val="22"/>
          <w:lang w:val="sl-SI"/>
        </w:rPr>
        <w:t xml:space="preserve"> = 2,0 %,</w:t>
      </w:r>
    </w:p>
    <w:p w14:paraId="56FEA72B" w14:textId="77777777" w:rsidR="00B63BE5" w:rsidRDefault="00B63BE5" w:rsidP="00B63BE5">
      <w:pPr>
        <w:pStyle w:val="Odstavekseznama"/>
        <w:numPr>
          <w:ilvl w:val="0"/>
          <w:numId w:val="3"/>
        </w:numPr>
        <w:spacing w:line="240" w:lineRule="auto"/>
        <w:jc w:val="both"/>
        <w:rPr>
          <w:sz w:val="22"/>
          <w:szCs w:val="22"/>
          <w:lang w:val="sl-SI"/>
        </w:rPr>
      </w:pPr>
      <w:r>
        <w:rPr>
          <w:sz w:val="22"/>
          <w:szCs w:val="22"/>
          <w:lang w:val="sl-SI"/>
        </w:rPr>
        <w:t>tržne premije za tveganje   31. 12. 2021 = 5,75 % : 30. 6. 2022 = 6,0 %,</w:t>
      </w:r>
    </w:p>
    <w:p w14:paraId="025FF2F1" w14:textId="77777777" w:rsidR="00B63BE5" w:rsidRDefault="00B63BE5" w:rsidP="00B63BE5">
      <w:pPr>
        <w:pStyle w:val="Odstavekseznama"/>
        <w:numPr>
          <w:ilvl w:val="0"/>
          <w:numId w:val="3"/>
        </w:numPr>
        <w:spacing w:line="240" w:lineRule="auto"/>
        <w:jc w:val="both"/>
        <w:rPr>
          <w:sz w:val="22"/>
          <w:szCs w:val="22"/>
          <w:lang w:val="sl-SI"/>
        </w:rPr>
      </w:pPr>
      <w:r>
        <w:rPr>
          <w:sz w:val="22"/>
          <w:szCs w:val="22"/>
          <w:lang w:val="sl-SI"/>
        </w:rPr>
        <w:t>zahteva stopnja donosa dolžniškega kapitala 31. 12. 2021 = 2,3 % : v Pošti Slovenije upoštevan 6 - mesečni EURIBOR med 2,2 % in 3,3 %.</w:t>
      </w:r>
    </w:p>
    <w:p w14:paraId="35F7C49E" w14:textId="77777777" w:rsidR="00B63BE5" w:rsidRPr="00B63BE5" w:rsidRDefault="00B63BE5" w:rsidP="00B63BE5">
      <w:pPr>
        <w:pStyle w:val="Odstavekseznama"/>
        <w:spacing w:line="240" w:lineRule="auto"/>
        <w:ind w:left="720"/>
        <w:jc w:val="both"/>
        <w:rPr>
          <w:sz w:val="22"/>
          <w:szCs w:val="22"/>
          <w:lang w:val="sl-SI"/>
        </w:rPr>
      </w:pPr>
    </w:p>
    <w:p w14:paraId="7D3EBCA9" w14:textId="77777777" w:rsidR="004E70ED" w:rsidRDefault="00B63BE5" w:rsidP="00754BB2">
      <w:pPr>
        <w:spacing w:line="240" w:lineRule="auto"/>
        <w:jc w:val="both"/>
        <w:rPr>
          <w:sz w:val="22"/>
          <w:szCs w:val="22"/>
          <w:lang w:val="sl-SI"/>
        </w:rPr>
      </w:pPr>
      <w:r>
        <w:rPr>
          <w:sz w:val="22"/>
          <w:szCs w:val="22"/>
          <w:lang w:val="sl-SI"/>
        </w:rPr>
        <w:t>Pošta Slovenije dodaja, da se posledično poviša zahtevana stopnja donosa na lastniški ka</w:t>
      </w:r>
      <w:r w:rsidR="00046768">
        <w:rPr>
          <w:sz w:val="22"/>
          <w:szCs w:val="22"/>
          <w:lang w:val="sl-SI"/>
        </w:rPr>
        <w:t>pital, ki je tudi spremenljivka</w:t>
      </w:r>
      <w:r>
        <w:rPr>
          <w:sz w:val="22"/>
          <w:szCs w:val="22"/>
          <w:lang w:val="sl-SI"/>
        </w:rPr>
        <w:t xml:space="preserve">, potrebna za izračun stopnje WACC. </w:t>
      </w:r>
    </w:p>
    <w:p w14:paraId="6AD89960" w14:textId="77777777" w:rsidR="00B63BE5" w:rsidRDefault="00B63BE5" w:rsidP="00754BB2">
      <w:pPr>
        <w:spacing w:line="240" w:lineRule="auto"/>
        <w:jc w:val="both"/>
        <w:rPr>
          <w:sz w:val="22"/>
          <w:szCs w:val="22"/>
          <w:lang w:val="sl-SI"/>
        </w:rPr>
      </w:pPr>
    </w:p>
    <w:p w14:paraId="1280ECFE" w14:textId="77777777" w:rsidR="00B63BE5" w:rsidRDefault="00B63BE5" w:rsidP="00754BB2">
      <w:pPr>
        <w:spacing w:line="240" w:lineRule="auto"/>
        <w:jc w:val="both"/>
        <w:rPr>
          <w:sz w:val="22"/>
          <w:szCs w:val="22"/>
          <w:lang w:val="sl-SI"/>
        </w:rPr>
      </w:pPr>
      <w:r>
        <w:rPr>
          <w:sz w:val="22"/>
          <w:szCs w:val="22"/>
          <w:lang w:val="sl-SI"/>
        </w:rPr>
        <w:t xml:space="preserve">Pošta Slovenije predlaga agenciji, da </w:t>
      </w:r>
      <w:r w:rsidR="00046768">
        <w:rPr>
          <w:sz w:val="22"/>
          <w:szCs w:val="22"/>
          <w:lang w:val="sl-SI"/>
        </w:rPr>
        <w:t xml:space="preserve">spremeni izračun stopnje WACC na način, da v izračunu uporabi zadnje znane vrednosti (podatki vključno s 30. 6. 2022) </w:t>
      </w:r>
      <w:r w:rsidR="00752118">
        <w:rPr>
          <w:sz w:val="22"/>
          <w:szCs w:val="22"/>
          <w:lang w:val="sl-SI"/>
        </w:rPr>
        <w:t xml:space="preserve">za naslednje  spremenljivke: </w:t>
      </w:r>
      <w:r w:rsidR="00046768">
        <w:rPr>
          <w:sz w:val="22"/>
          <w:szCs w:val="22"/>
          <w:lang w:val="sl-SI"/>
        </w:rPr>
        <w:t>netvegane stopnje donosa, tržne premije za tveganje in zahtevane stopnje donosa dolžniškega kapitala.</w:t>
      </w:r>
    </w:p>
    <w:p w14:paraId="77107C26" w14:textId="77777777" w:rsidR="00046768" w:rsidRDefault="00046768" w:rsidP="00754BB2">
      <w:pPr>
        <w:spacing w:line="240" w:lineRule="auto"/>
        <w:jc w:val="both"/>
        <w:rPr>
          <w:sz w:val="22"/>
          <w:szCs w:val="22"/>
          <w:lang w:val="sl-SI"/>
        </w:rPr>
      </w:pPr>
    </w:p>
    <w:p w14:paraId="3A44705C" w14:textId="63EC6B10" w:rsidR="00A95785" w:rsidRDefault="00046768" w:rsidP="00754BB2">
      <w:pPr>
        <w:spacing w:line="240" w:lineRule="auto"/>
        <w:jc w:val="both"/>
        <w:rPr>
          <w:sz w:val="22"/>
          <w:szCs w:val="22"/>
          <w:lang w:val="sl-SI"/>
        </w:rPr>
      </w:pPr>
      <w:r>
        <w:rPr>
          <w:sz w:val="22"/>
          <w:szCs w:val="22"/>
          <w:lang w:val="sl-SI"/>
        </w:rPr>
        <w:t>A</w:t>
      </w:r>
      <w:r w:rsidR="00752118">
        <w:rPr>
          <w:sz w:val="22"/>
          <w:szCs w:val="22"/>
          <w:lang w:val="sl-SI"/>
        </w:rPr>
        <w:t xml:space="preserve">gencija ne sledi pripombam Pošte Slovenije in pojasnjuje, da pri izračunu WACC na dan 31. 12. 2021 </w:t>
      </w:r>
      <w:r w:rsidR="00752118">
        <w:rPr>
          <w:sz w:val="22"/>
          <w:szCs w:val="22"/>
          <w:lang w:val="sl-SI"/>
        </w:rPr>
        <w:lastRenderedPageBreak/>
        <w:t xml:space="preserve">ni mogoče upoštevati dogodkov in gospodarskih ter ekonomskih sprememb, ki so nastale po tem datumu. Agencija se strinja z ugotovitvijo, da se gospodarsko okolje hitro spreminja, zato </w:t>
      </w:r>
      <w:r w:rsidR="004054AA">
        <w:rPr>
          <w:sz w:val="22"/>
          <w:szCs w:val="22"/>
          <w:lang w:val="sl-SI"/>
        </w:rPr>
        <w:t xml:space="preserve">tudi izvede in </w:t>
      </w:r>
      <w:r w:rsidR="00752118">
        <w:rPr>
          <w:sz w:val="22"/>
          <w:szCs w:val="22"/>
          <w:lang w:val="sl-SI"/>
        </w:rPr>
        <w:t>načrtuje izračune stopn</w:t>
      </w:r>
      <w:r w:rsidR="004054AA">
        <w:rPr>
          <w:sz w:val="22"/>
          <w:szCs w:val="22"/>
          <w:lang w:val="sl-SI"/>
        </w:rPr>
        <w:t>j</w:t>
      </w:r>
      <w:r w:rsidR="00752118">
        <w:rPr>
          <w:sz w:val="22"/>
          <w:szCs w:val="22"/>
          <w:lang w:val="sl-SI"/>
        </w:rPr>
        <w:t>e WACC enkrat letno</w:t>
      </w:r>
      <w:r w:rsidR="004054AA">
        <w:rPr>
          <w:sz w:val="22"/>
          <w:szCs w:val="22"/>
          <w:lang w:val="sl-SI"/>
        </w:rPr>
        <w:t xml:space="preserve"> in ne na triletno obdobje, kot je bil predlog Pošte Slovenije v pripombi k Programu dela in finančnemu načrtu za leto 2021.</w:t>
      </w:r>
      <w:r w:rsidR="00752118">
        <w:rPr>
          <w:sz w:val="22"/>
          <w:szCs w:val="22"/>
          <w:lang w:val="sl-SI"/>
        </w:rPr>
        <w:t xml:space="preserve"> </w:t>
      </w:r>
      <w:r w:rsidR="004054AA">
        <w:rPr>
          <w:sz w:val="22"/>
          <w:szCs w:val="22"/>
          <w:lang w:val="sl-SI"/>
        </w:rPr>
        <w:t xml:space="preserve">Navedba </w:t>
      </w:r>
      <w:r w:rsidR="00A95785">
        <w:rPr>
          <w:sz w:val="22"/>
          <w:szCs w:val="22"/>
          <w:lang w:val="sl-SI"/>
        </w:rPr>
        <w:t>Pošt</w:t>
      </w:r>
      <w:r w:rsidR="004054AA">
        <w:rPr>
          <w:sz w:val="22"/>
          <w:szCs w:val="22"/>
          <w:lang w:val="sl-SI"/>
        </w:rPr>
        <w:t>e</w:t>
      </w:r>
      <w:r w:rsidR="00A95785">
        <w:rPr>
          <w:sz w:val="22"/>
          <w:szCs w:val="22"/>
          <w:lang w:val="sl-SI"/>
        </w:rPr>
        <w:t xml:space="preserve"> Slovenije, da </w:t>
      </w:r>
      <w:r w:rsidR="004054AA">
        <w:rPr>
          <w:sz w:val="22"/>
          <w:szCs w:val="22"/>
          <w:lang w:val="sl-SI"/>
        </w:rPr>
        <w:t xml:space="preserve">lahko </w:t>
      </w:r>
      <w:r w:rsidR="00A95785">
        <w:rPr>
          <w:sz w:val="22"/>
          <w:szCs w:val="22"/>
          <w:lang w:val="sl-SI"/>
        </w:rPr>
        <w:t>stopnjo WACC v višini 6,9 % uporabi</w:t>
      </w:r>
      <w:r w:rsidR="004054AA">
        <w:rPr>
          <w:sz w:val="22"/>
          <w:szCs w:val="22"/>
          <w:lang w:val="sl-SI"/>
        </w:rPr>
        <w:t xml:space="preserve"> šele</w:t>
      </w:r>
      <w:r w:rsidR="00A95785">
        <w:rPr>
          <w:sz w:val="22"/>
          <w:szCs w:val="22"/>
          <w:lang w:val="sl-SI"/>
        </w:rPr>
        <w:t xml:space="preserve">  pri vlogi za spremembo cen v sredini leta 2023</w:t>
      </w:r>
      <w:r w:rsidR="004054AA">
        <w:rPr>
          <w:sz w:val="22"/>
          <w:szCs w:val="22"/>
          <w:lang w:val="sl-SI"/>
        </w:rPr>
        <w:t xml:space="preserve"> ne drži saj lahko Pošta Slovenije poda vlogo za spremembo cen že prej, saj zato ni nobenih ovir.</w:t>
      </w:r>
      <w:r w:rsidR="00A95785">
        <w:rPr>
          <w:sz w:val="22"/>
          <w:szCs w:val="22"/>
          <w:lang w:val="sl-SI"/>
        </w:rPr>
        <w:t xml:space="preserve"> </w:t>
      </w:r>
    </w:p>
    <w:p w14:paraId="6E974C84" w14:textId="77777777" w:rsidR="00A95785" w:rsidRDefault="00A95785" w:rsidP="00754BB2">
      <w:pPr>
        <w:spacing w:line="240" w:lineRule="auto"/>
        <w:jc w:val="both"/>
        <w:rPr>
          <w:sz w:val="22"/>
          <w:szCs w:val="22"/>
          <w:lang w:val="sl-SI"/>
        </w:rPr>
      </w:pPr>
    </w:p>
    <w:p w14:paraId="539301A9" w14:textId="77777777" w:rsidR="004E70ED" w:rsidRDefault="004E70ED" w:rsidP="00754BB2">
      <w:pPr>
        <w:spacing w:line="240" w:lineRule="auto"/>
        <w:jc w:val="both"/>
        <w:rPr>
          <w:sz w:val="22"/>
          <w:szCs w:val="22"/>
          <w:lang w:val="sl-SI"/>
        </w:rPr>
      </w:pPr>
    </w:p>
    <w:p w14:paraId="49B38630" w14:textId="77777777" w:rsidR="004E70ED" w:rsidRDefault="004E70ED" w:rsidP="00754BB2">
      <w:pPr>
        <w:spacing w:line="240" w:lineRule="auto"/>
        <w:jc w:val="both"/>
        <w:rPr>
          <w:sz w:val="22"/>
          <w:szCs w:val="22"/>
          <w:lang w:val="sl-SI"/>
        </w:rPr>
      </w:pPr>
      <w:r>
        <w:rPr>
          <w:sz w:val="22"/>
          <w:szCs w:val="22"/>
          <w:lang w:val="sl-SI"/>
        </w:rPr>
        <w:t>Glede na navedeno agencija sklepno pojasnjuje, da ne sledi predlogom in pripombam Pošte Slovenije za spremembo višine WACC, tako da WACC za izvajanje univerzalne poštne storitve Pošte Slovenije na dan 31. 12. 2021 znaša 6,9 %.</w:t>
      </w:r>
    </w:p>
    <w:p w14:paraId="072FB875" w14:textId="77777777" w:rsidR="004B275D" w:rsidRDefault="004B275D" w:rsidP="00754BB2">
      <w:pPr>
        <w:spacing w:line="240" w:lineRule="auto"/>
        <w:jc w:val="both"/>
        <w:rPr>
          <w:sz w:val="22"/>
          <w:szCs w:val="22"/>
          <w:lang w:val="sl-SI"/>
        </w:rPr>
      </w:pPr>
    </w:p>
    <w:p w14:paraId="4CC40BE3" w14:textId="77777777" w:rsidR="004B275D" w:rsidRPr="00754BB2" w:rsidRDefault="004B275D" w:rsidP="00754BB2">
      <w:pPr>
        <w:spacing w:line="240" w:lineRule="auto"/>
        <w:jc w:val="both"/>
        <w:rPr>
          <w:sz w:val="22"/>
          <w:szCs w:val="22"/>
          <w:lang w:val="sl-SI"/>
        </w:rPr>
      </w:pPr>
    </w:p>
    <w:p w14:paraId="5D4CE19A" w14:textId="086955AE" w:rsidR="00034767" w:rsidRPr="00754BB2" w:rsidRDefault="00034767" w:rsidP="008C600E">
      <w:pPr>
        <w:spacing w:line="240" w:lineRule="auto"/>
        <w:rPr>
          <w:sz w:val="22"/>
          <w:szCs w:val="22"/>
          <w:lang w:val="sl-SI"/>
        </w:rPr>
      </w:pPr>
      <w:r w:rsidRPr="00754BB2">
        <w:rPr>
          <w:sz w:val="22"/>
          <w:szCs w:val="22"/>
          <w:lang w:val="sl-SI"/>
        </w:rPr>
        <w:t xml:space="preserve">                                                                                                                                        </w:t>
      </w:r>
    </w:p>
    <w:p w14:paraId="6977BFC3" w14:textId="77777777" w:rsidR="00852766" w:rsidRPr="00754BB2" w:rsidRDefault="00034767" w:rsidP="00034767">
      <w:pPr>
        <w:spacing w:line="240" w:lineRule="auto"/>
        <w:rPr>
          <w:sz w:val="22"/>
          <w:szCs w:val="22"/>
          <w:lang w:val="sl-SI"/>
        </w:rPr>
      </w:pPr>
      <w:r w:rsidRPr="00754BB2">
        <w:rPr>
          <w:sz w:val="22"/>
          <w:szCs w:val="22"/>
          <w:lang w:val="sl-SI"/>
        </w:rPr>
        <w:t xml:space="preserve"> </w:t>
      </w:r>
      <w:r w:rsidR="008C600E" w:rsidRPr="00754BB2">
        <w:rPr>
          <w:sz w:val="22"/>
          <w:szCs w:val="22"/>
          <w:lang w:val="sl-SI"/>
        </w:rPr>
        <w:t xml:space="preserve">                                                                                                         </w:t>
      </w:r>
      <w:r w:rsidRPr="00754BB2">
        <w:rPr>
          <w:sz w:val="22"/>
          <w:szCs w:val="22"/>
          <w:lang w:val="sl-SI"/>
        </w:rPr>
        <w:t xml:space="preserve">                </w:t>
      </w:r>
      <w:r w:rsidR="002840D9" w:rsidRPr="00754BB2">
        <w:rPr>
          <w:sz w:val="22"/>
          <w:szCs w:val="22"/>
          <w:lang w:val="sl-SI"/>
        </w:rPr>
        <w:t xml:space="preserve">              </w:t>
      </w:r>
      <w:r w:rsidR="008C600E" w:rsidRPr="00754BB2">
        <w:rPr>
          <w:sz w:val="22"/>
          <w:szCs w:val="22"/>
          <w:lang w:val="sl-SI"/>
        </w:rPr>
        <w:t xml:space="preserve">                                                                      </w:t>
      </w:r>
      <w:r w:rsidRPr="00754BB2">
        <w:rPr>
          <w:sz w:val="22"/>
          <w:szCs w:val="22"/>
          <w:lang w:val="sl-SI"/>
        </w:rPr>
        <w:t xml:space="preserve">                </w:t>
      </w:r>
      <w:r w:rsidR="008C600E" w:rsidRPr="00754BB2">
        <w:rPr>
          <w:sz w:val="22"/>
          <w:szCs w:val="22"/>
          <w:lang w:val="sl-SI"/>
        </w:rPr>
        <w:t xml:space="preserve">               </w:t>
      </w:r>
      <w:sdt>
        <w:sdtPr>
          <w:rPr>
            <w:sz w:val="22"/>
            <w:szCs w:val="22"/>
            <w:lang w:val="sl-SI"/>
          </w:rPr>
          <w:id w:val="466706402"/>
          <w:placeholder>
            <w:docPart w:val="DA6D23F368C140DEB14783E42EC50CA6"/>
          </w:placeholder>
          <w:text/>
        </w:sdtPr>
        <w:sdtEndPr/>
        <w:sdtContent>
          <w:r w:rsidRPr="00754BB2">
            <w:rPr>
              <w:sz w:val="22"/>
              <w:szCs w:val="22"/>
              <w:lang w:val="sl-SI"/>
            </w:rPr>
            <w:t xml:space="preserve">  </w:t>
          </w:r>
        </w:sdtContent>
      </w:sdt>
    </w:p>
    <w:p w14:paraId="32048E7B" w14:textId="77777777" w:rsidR="003F0047" w:rsidRPr="00754BB2" w:rsidRDefault="008C600E" w:rsidP="00BD5229">
      <w:pPr>
        <w:spacing w:line="240" w:lineRule="auto"/>
        <w:jc w:val="both"/>
        <w:rPr>
          <w:sz w:val="22"/>
          <w:szCs w:val="22"/>
          <w:lang w:val="sl-SI"/>
        </w:rPr>
      </w:pPr>
      <w:r w:rsidRPr="00754BB2">
        <w:rPr>
          <w:sz w:val="22"/>
          <w:szCs w:val="22"/>
          <w:lang w:val="sl-SI"/>
        </w:rPr>
        <w:t xml:space="preserve">     </w:t>
      </w:r>
      <w:r w:rsidR="00034767" w:rsidRPr="00754BB2">
        <w:rPr>
          <w:sz w:val="22"/>
          <w:szCs w:val="22"/>
          <w:lang w:val="sl-SI"/>
        </w:rPr>
        <w:t xml:space="preserve">                                                                                                                                           </w:t>
      </w:r>
      <w:r w:rsidRPr="00754BB2">
        <w:rPr>
          <w:sz w:val="22"/>
          <w:szCs w:val="22"/>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4"/>
      </w:tblGrid>
      <w:tr w:rsidR="0070618B" w:rsidRPr="00034767" w14:paraId="36492B1D" w14:textId="77777777" w:rsidTr="00852766">
        <w:trPr>
          <w:trHeight w:val="284"/>
        </w:trPr>
        <w:tc>
          <w:tcPr>
            <w:tcW w:w="4535" w:type="dxa"/>
          </w:tcPr>
          <w:p w14:paraId="73DADB13" w14:textId="77777777" w:rsidR="0070618B" w:rsidRPr="00034767" w:rsidRDefault="0070618B" w:rsidP="003F0047">
            <w:pPr>
              <w:spacing w:line="240" w:lineRule="auto"/>
              <w:rPr>
                <w:b/>
                <w:sz w:val="24"/>
                <w:szCs w:val="24"/>
                <w:lang w:val="sl-SI"/>
              </w:rPr>
            </w:pPr>
          </w:p>
        </w:tc>
        <w:tc>
          <w:tcPr>
            <w:tcW w:w="4535" w:type="dxa"/>
          </w:tcPr>
          <w:p w14:paraId="2E13524D" w14:textId="77777777" w:rsidR="0070618B" w:rsidRPr="00034767" w:rsidRDefault="0070618B" w:rsidP="00852766">
            <w:pPr>
              <w:spacing w:line="240" w:lineRule="auto"/>
              <w:ind w:left="1986"/>
              <w:rPr>
                <w:b/>
                <w:sz w:val="24"/>
                <w:szCs w:val="24"/>
                <w:lang w:val="sl-SI"/>
              </w:rPr>
            </w:pPr>
          </w:p>
        </w:tc>
      </w:tr>
      <w:tr w:rsidR="00052578" w:rsidRPr="00034767" w14:paraId="1D1A595E" w14:textId="77777777" w:rsidTr="00852766">
        <w:trPr>
          <w:trHeight w:val="284"/>
        </w:trPr>
        <w:tc>
          <w:tcPr>
            <w:tcW w:w="4535" w:type="dxa"/>
          </w:tcPr>
          <w:p w14:paraId="3007DAE4" w14:textId="77777777" w:rsidR="00052578" w:rsidRPr="00034767" w:rsidRDefault="00052578" w:rsidP="003F0047">
            <w:pPr>
              <w:spacing w:line="240" w:lineRule="auto"/>
              <w:rPr>
                <w:b/>
                <w:sz w:val="24"/>
                <w:szCs w:val="24"/>
                <w:lang w:val="sl-SI"/>
              </w:rPr>
            </w:pPr>
          </w:p>
        </w:tc>
        <w:tc>
          <w:tcPr>
            <w:tcW w:w="4535" w:type="dxa"/>
          </w:tcPr>
          <w:p w14:paraId="38653120" w14:textId="77777777" w:rsidR="00052578" w:rsidRPr="00034767" w:rsidRDefault="00052578" w:rsidP="00852766">
            <w:pPr>
              <w:spacing w:line="240" w:lineRule="auto"/>
              <w:ind w:left="1986"/>
              <w:rPr>
                <w:b/>
                <w:sz w:val="24"/>
                <w:szCs w:val="24"/>
                <w:lang w:val="sl-SI"/>
              </w:rPr>
            </w:pPr>
          </w:p>
        </w:tc>
      </w:tr>
      <w:tr w:rsidR="0070618B" w:rsidRPr="00034767" w14:paraId="0CDFCE3D" w14:textId="77777777" w:rsidTr="00852766">
        <w:trPr>
          <w:trHeight w:val="284"/>
        </w:trPr>
        <w:tc>
          <w:tcPr>
            <w:tcW w:w="4535" w:type="dxa"/>
          </w:tcPr>
          <w:p w14:paraId="16E31C3B" w14:textId="77777777" w:rsidR="0070618B" w:rsidRPr="00034767" w:rsidRDefault="0070618B" w:rsidP="003F0047">
            <w:pPr>
              <w:spacing w:line="240" w:lineRule="auto"/>
              <w:rPr>
                <w:sz w:val="24"/>
                <w:szCs w:val="24"/>
                <w:lang w:val="sl-SI"/>
              </w:rPr>
            </w:pPr>
          </w:p>
          <w:p w14:paraId="21BEB5F0" w14:textId="77777777" w:rsidR="00852766" w:rsidRPr="00034767" w:rsidRDefault="00852766" w:rsidP="003F0047">
            <w:pPr>
              <w:spacing w:line="240" w:lineRule="auto"/>
              <w:rPr>
                <w:sz w:val="24"/>
                <w:szCs w:val="24"/>
                <w:lang w:val="sl-SI"/>
              </w:rPr>
            </w:pPr>
          </w:p>
        </w:tc>
        <w:tc>
          <w:tcPr>
            <w:tcW w:w="4535" w:type="dxa"/>
          </w:tcPr>
          <w:p w14:paraId="2C567C00" w14:textId="77777777" w:rsidR="0070618B" w:rsidRPr="00034767" w:rsidRDefault="0070618B" w:rsidP="00852766">
            <w:pPr>
              <w:spacing w:line="240" w:lineRule="auto"/>
              <w:ind w:left="1986"/>
              <w:rPr>
                <w:sz w:val="24"/>
                <w:szCs w:val="24"/>
                <w:lang w:val="sl-SI"/>
              </w:rPr>
            </w:pPr>
          </w:p>
        </w:tc>
      </w:tr>
      <w:tr w:rsidR="0070618B" w:rsidRPr="00034767" w14:paraId="776B00ED" w14:textId="77777777" w:rsidTr="00852766">
        <w:trPr>
          <w:trHeight w:val="284"/>
        </w:trPr>
        <w:tc>
          <w:tcPr>
            <w:tcW w:w="4535" w:type="dxa"/>
          </w:tcPr>
          <w:p w14:paraId="00F7C385" w14:textId="77777777" w:rsidR="0070618B" w:rsidRPr="00034767" w:rsidRDefault="0070618B" w:rsidP="003F0047">
            <w:pPr>
              <w:spacing w:line="240" w:lineRule="auto"/>
              <w:rPr>
                <w:sz w:val="24"/>
                <w:szCs w:val="24"/>
                <w:lang w:val="sl-SI"/>
              </w:rPr>
            </w:pPr>
          </w:p>
        </w:tc>
        <w:tc>
          <w:tcPr>
            <w:tcW w:w="4535" w:type="dxa"/>
          </w:tcPr>
          <w:p w14:paraId="3C147220" w14:textId="77777777" w:rsidR="0070618B" w:rsidRPr="00034767" w:rsidRDefault="0070618B" w:rsidP="003F0047">
            <w:pPr>
              <w:spacing w:line="240" w:lineRule="auto"/>
              <w:rPr>
                <w:sz w:val="24"/>
                <w:szCs w:val="24"/>
                <w:lang w:val="sl-SI"/>
              </w:rPr>
            </w:pPr>
          </w:p>
        </w:tc>
      </w:tr>
      <w:tr w:rsidR="0070618B" w:rsidRPr="00034767" w14:paraId="0AB1E2BC" w14:textId="77777777" w:rsidTr="00852766">
        <w:trPr>
          <w:trHeight w:val="284"/>
        </w:trPr>
        <w:tc>
          <w:tcPr>
            <w:tcW w:w="4535" w:type="dxa"/>
          </w:tcPr>
          <w:p w14:paraId="5F0F7E74" w14:textId="77777777" w:rsidR="0070618B" w:rsidRPr="00034767" w:rsidRDefault="0070618B" w:rsidP="003F0047">
            <w:pPr>
              <w:spacing w:line="240" w:lineRule="auto"/>
              <w:rPr>
                <w:sz w:val="24"/>
                <w:szCs w:val="24"/>
                <w:lang w:val="sl-SI"/>
              </w:rPr>
            </w:pPr>
          </w:p>
        </w:tc>
        <w:tc>
          <w:tcPr>
            <w:tcW w:w="4535" w:type="dxa"/>
          </w:tcPr>
          <w:p w14:paraId="707319CE" w14:textId="77777777" w:rsidR="0070618B" w:rsidRPr="00034767" w:rsidRDefault="0070618B" w:rsidP="003F0047">
            <w:pPr>
              <w:spacing w:line="240" w:lineRule="auto"/>
              <w:rPr>
                <w:sz w:val="24"/>
                <w:szCs w:val="24"/>
                <w:lang w:val="sl-SI"/>
              </w:rPr>
            </w:pPr>
          </w:p>
        </w:tc>
      </w:tr>
    </w:tbl>
    <w:p w14:paraId="6553F32D" w14:textId="77777777" w:rsidR="003F0047" w:rsidRDefault="003F0047" w:rsidP="003F0047">
      <w:pPr>
        <w:spacing w:line="240" w:lineRule="auto"/>
        <w:rPr>
          <w:lang w:val="sl-SI"/>
        </w:rPr>
      </w:pPr>
    </w:p>
    <w:p w14:paraId="60A4FDFB" w14:textId="77777777" w:rsidR="00852766" w:rsidRDefault="00852766" w:rsidP="003F0047">
      <w:pPr>
        <w:spacing w:line="240" w:lineRule="auto"/>
        <w:rPr>
          <w:lang w:val="sl-SI"/>
        </w:rPr>
      </w:pPr>
    </w:p>
    <w:sectPr w:rsidR="00852766" w:rsidSect="002507E5">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0" w:right="1191" w:bottom="278" w:left="1786" w:header="709" w:footer="709" w:gutter="0"/>
      <w:pgNumType w:fmt="upperLetter"/>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AA9C" w14:textId="77777777" w:rsidR="005941B7" w:rsidRDefault="005941B7" w:rsidP="00184F9B">
      <w:pPr>
        <w:spacing w:line="240" w:lineRule="auto"/>
      </w:pPr>
      <w:r>
        <w:separator/>
      </w:r>
    </w:p>
  </w:endnote>
  <w:endnote w:type="continuationSeparator" w:id="0">
    <w:p w14:paraId="048F1607" w14:textId="77777777" w:rsidR="005941B7" w:rsidRDefault="005941B7"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8B7D" w14:textId="77777777" w:rsidR="003B0F4B" w:rsidRDefault="003B0F4B" w:rsidP="003B0F4B">
    <w:pPr>
      <w:pStyle w:val="Telobesedila"/>
      <w:spacing w:before="75"/>
      <w:ind w:left="0" w:right="-404"/>
      <w:rPr>
        <w:color w:val="231F20"/>
        <w:spacing w:val="-6"/>
      </w:rPr>
    </w:pPr>
  </w:p>
  <w:p w14:paraId="3D6A0DCE" w14:textId="77777777" w:rsidR="003B0F4B" w:rsidRDefault="003B0F4B" w:rsidP="003B0F4B">
    <w:pPr>
      <w:spacing w:before="4" w:line="150" w:lineRule="exact"/>
      <w:rPr>
        <w:sz w:val="15"/>
        <w:szCs w:val="15"/>
      </w:rPr>
    </w:pPr>
    <w:r>
      <w:rPr>
        <w:noProof/>
        <w:lang w:val="sl-SI" w:eastAsia="sl-SI"/>
      </w:rPr>
      <mc:AlternateContent>
        <mc:Choice Requires="wpg">
          <w:drawing>
            <wp:anchor distT="0" distB="0" distL="114300" distR="114300" simplePos="0" relativeHeight="251660288" behindDoc="1" locked="0" layoutInCell="1" allowOverlap="1" wp14:anchorId="0E19FD46" wp14:editId="161615DD">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459E7"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" path="m,l9217,e" filled="f" strokecolor="#0c74cb" strokeweight=".20003mm">
                <v:path arrowok="t" o:connecttype="custom" o:connectlocs="0,0;9217,0" o:connectangles="0,0"/>
              </v:shape>
              <w10:wrap anchorx="page"/>
            </v:group>
          </w:pict>
        </mc:Fallback>
      </mc:AlternateContent>
    </w:r>
  </w:p>
  <w:p w14:paraId="28A0780C" w14:textId="77777777" w:rsidR="003B0F4B" w:rsidRPr="003B0F4B" w:rsidRDefault="003B0F4B"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009C77A1"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EF7D74" w:rsidRPr="00EF7D74">
      <w:rPr>
        <w:rFonts w:eastAsia="Calibri" w:cs="Arial"/>
        <w:b/>
        <w:noProof/>
        <w:color w:val="231F20"/>
        <w:lang w:val="sl-SI"/>
      </w:rPr>
      <w:t>5</w:t>
    </w:r>
    <w:r w:rsidRPr="00ED7BC0">
      <w:rPr>
        <w:rFonts w:eastAsia="Calibri" w:cs="Arial"/>
        <w:b/>
        <w:color w:val="231F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AF69" w14:textId="77777777" w:rsidR="00FA72F4" w:rsidRPr="00EC2F5E" w:rsidRDefault="00FA72F4" w:rsidP="00FA72F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4384" behindDoc="1" locked="0" layoutInCell="1" allowOverlap="1" wp14:anchorId="685171EF" wp14:editId="178CD5F0">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CD5" id="Group 1" o:spid="_x0000_s1026" style="position:absolute;margin-left:88.9pt;margin-top:15.65pt;width:453.5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600C3D36" w14:textId="77777777" w:rsidR="00FA72F4" w:rsidRPr="00EC2F5E" w:rsidRDefault="00FA72F4" w:rsidP="00FA72F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4"/>
    </w:tblGrid>
    <w:tr w:rsidR="00FA72F4" w:rsidRPr="00EC2F5E" w14:paraId="36E5E929" w14:textId="77777777" w:rsidTr="00D94A33">
      <w:tc>
        <w:tcPr>
          <w:tcW w:w="4535" w:type="dxa"/>
        </w:tcPr>
        <w:p w14:paraId="50953A60" w14:textId="77777777" w:rsidR="00FA72F4" w:rsidRPr="00EC2F5E" w:rsidRDefault="00FA72F4" w:rsidP="00D94A33">
          <w:pPr>
            <w:spacing w:before="4" w:line="150" w:lineRule="exact"/>
            <w:rPr>
              <w:rFonts w:ascii="Arial" w:hAnsi="Arial" w:cs="Arial"/>
              <w:sz w:val="14"/>
              <w:szCs w:val="14"/>
            </w:rPr>
          </w:pPr>
          <w:r w:rsidRPr="00EC2F5E">
            <w:rPr>
              <w:rFonts w:ascii="Arial" w:hAnsi="Arial" w:cs="Arial"/>
              <w:sz w:val="14"/>
              <w:szCs w:val="14"/>
            </w:rPr>
            <w:t>-1 Dopis SLO</w:t>
          </w:r>
        </w:p>
      </w:tc>
      <w:tc>
        <w:tcPr>
          <w:tcW w:w="4535" w:type="dxa"/>
        </w:tcPr>
        <w:p w14:paraId="07ED5516" w14:textId="64F1DCCC" w:rsidR="00FA72F4" w:rsidRPr="00EC2F5E" w:rsidRDefault="00FA72F4" w:rsidP="00D94A33">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7F47D8" w:rsidRPr="007F47D8">
            <w:rPr>
              <w:rFonts w:ascii="Arial" w:eastAsia="Calibri" w:hAnsi="Arial" w:cs="Arial"/>
              <w:noProof/>
              <w:color w:val="231F20"/>
              <w:sz w:val="14"/>
              <w:szCs w:val="14"/>
              <w:lang w:val="sl-SI"/>
            </w:rPr>
            <w:t>2</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7F47D8" w:rsidRPr="007F47D8">
            <w:rPr>
              <w:rFonts w:ascii="Arial" w:eastAsia="Calibri" w:hAnsi="Arial" w:cs="Arial"/>
              <w:noProof/>
              <w:color w:val="231F20"/>
              <w:sz w:val="14"/>
              <w:szCs w:val="14"/>
              <w:lang w:val="sl-SI"/>
            </w:rPr>
            <w:t>2</w:t>
          </w:r>
          <w:r w:rsidRPr="00EC2F5E">
            <w:rPr>
              <w:rFonts w:ascii="Arial" w:eastAsia="Calibri" w:hAnsi="Arial" w:cs="Arial"/>
              <w:color w:val="231F20"/>
              <w:sz w:val="14"/>
              <w:szCs w:val="14"/>
            </w:rPr>
            <w:fldChar w:fldCharType="end"/>
          </w:r>
        </w:p>
      </w:tc>
    </w:tr>
  </w:tbl>
  <w:p w14:paraId="2D2E9E44" w14:textId="77777777" w:rsidR="00FA72F4" w:rsidRPr="00FA72F4" w:rsidRDefault="00FA72F4" w:rsidP="00FA72F4">
    <w:pPr>
      <w:pStyle w:val="Noga"/>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353F" w14:textId="77777777" w:rsidR="009C77A1" w:rsidRPr="00EC2F5E" w:rsidRDefault="002507E5" w:rsidP="009C77A1">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2336" behindDoc="1" locked="0" layoutInCell="1" allowOverlap="1" wp14:anchorId="48F633D6" wp14:editId="282F8790">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2C283" id="Group 1" o:spid="_x0000_s1026" style="position:absolute;margin-left:88.9pt;margin-top:15.65pt;width:453.5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bXg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r w:rsidR="009C77A1" w:rsidRPr="00EC2F5E">
      <w:rPr>
        <w:rFonts w:cs="Arial"/>
        <w:color w:val="231F20"/>
        <w:spacing w:val="-6"/>
      </w:rPr>
      <w:t>S</w:t>
    </w:r>
    <w:r w:rsidR="009C77A1" w:rsidRPr="00EC2F5E">
      <w:rPr>
        <w:rFonts w:cs="Arial"/>
        <w:color w:val="231F20"/>
        <w:spacing w:val="-3"/>
      </w:rPr>
      <w:t>t</w:t>
    </w:r>
    <w:r w:rsidR="009C77A1" w:rsidRPr="00EC2F5E">
      <w:rPr>
        <w:rFonts w:cs="Arial"/>
        <w:color w:val="231F20"/>
        <w:spacing w:val="-2"/>
      </w:rPr>
      <w:t>egn</w:t>
    </w:r>
    <w:r w:rsidR="009C77A1" w:rsidRPr="00EC2F5E">
      <w:rPr>
        <w:rFonts w:cs="Arial"/>
        <w:color w:val="231F20"/>
      </w:rPr>
      <w:t>e</w:t>
    </w:r>
    <w:r w:rsidR="009C77A1" w:rsidRPr="00EC2F5E">
      <w:rPr>
        <w:rFonts w:cs="Arial"/>
        <w:color w:val="231F20"/>
        <w:spacing w:val="13"/>
      </w:rPr>
      <w:t xml:space="preserve"> </w:t>
    </w:r>
    <w:r w:rsidR="009C77A1" w:rsidRPr="00EC2F5E">
      <w:rPr>
        <w:rFonts w:cs="Arial"/>
        <w:color w:val="231F20"/>
        <w:spacing w:val="-8"/>
      </w:rPr>
      <w:t>7</w:t>
    </w:r>
    <w:r w:rsidR="009C77A1" w:rsidRPr="00EC2F5E">
      <w:rPr>
        <w:rFonts w:cs="Arial"/>
        <w:color w:val="231F20"/>
      </w:rPr>
      <w:t>,</w:t>
    </w:r>
    <w:r w:rsidR="009C77A1" w:rsidRPr="00EC2F5E">
      <w:rPr>
        <w:rFonts w:cs="Arial"/>
        <w:color w:val="231F20"/>
        <w:spacing w:val="14"/>
      </w:rPr>
      <w:t xml:space="preserve"> </w:t>
    </w:r>
    <w:r w:rsidR="009C77A1" w:rsidRPr="00EC2F5E">
      <w:rPr>
        <w:rFonts w:cs="Arial"/>
        <w:color w:val="231F20"/>
        <w:spacing w:val="-2"/>
      </w:rPr>
      <w:t>p.p</w:t>
    </w:r>
    <w:r w:rsidR="009C77A1" w:rsidRPr="00EC2F5E">
      <w:rPr>
        <w:rFonts w:cs="Arial"/>
        <w:color w:val="231F20"/>
      </w:rPr>
      <w:t>.</w:t>
    </w:r>
    <w:r w:rsidR="009C77A1" w:rsidRPr="00EC2F5E">
      <w:rPr>
        <w:rFonts w:cs="Arial"/>
        <w:color w:val="231F20"/>
        <w:spacing w:val="13"/>
      </w:rPr>
      <w:t xml:space="preserve"> </w:t>
    </w:r>
    <w:r w:rsidR="009C77A1" w:rsidRPr="00EC2F5E">
      <w:rPr>
        <w:rFonts w:cs="Arial"/>
        <w:color w:val="231F20"/>
        <w:spacing w:val="-2"/>
      </w:rPr>
      <w:t>418</w:t>
    </w:r>
    <w:r w:rsidR="009C77A1" w:rsidRPr="00EC2F5E">
      <w:rPr>
        <w:rFonts w:cs="Arial"/>
        <w:color w:val="231F20"/>
      </w:rPr>
      <w:t>,</w:t>
    </w:r>
    <w:r w:rsidR="009C77A1" w:rsidRPr="00EC2F5E">
      <w:rPr>
        <w:rFonts w:cs="Arial"/>
        <w:color w:val="231F20"/>
        <w:spacing w:val="14"/>
      </w:rPr>
      <w:t xml:space="preserve"> </w:t>
    </w:r>
    <w:r w:rsidR="009C77A1" w:rsidRPr="00EC2F5E">
      <w:rPr>
        <w:rFonts w:cs="Arial"/>
        <w:color w:val="231F20"/>
        <w:spacing w:val="-3"/>
      </w:rPr>
      <w:t>100</w:t>
    </w:r>
    <w:r w:rsidR="009C77A1" w:rsidRPr="00EC2F5E">
      <w:rPr>
        <w:rFonts w:cs="Arial"/>
        <w:color w:val="231F20"/>
      </w:rPr>
      <w:t>1</w:t>
    </w:r>
    <w:r w:rsidR="009C77A1" w:rsidRPr="00EC2F5E">
      <w:rPr>
        <w:rFonts w:cs="Arial"/>
        <w:color w:val="231F20"/>
        <w:spacing w:val="13"/>
      </w:rPr>
      <w:t xml:space="preserve"> </w:t>
    </w:r>
    <w:r w:rsidR="009C77A1" w:rsidRPr="00EC2F5E">
      <w:rPr>
        <w:rFonts w:cs="Arial"/>
        <w:color w:val="231F20"/>
        <w:spacing w:val="-2"/>
      </w:rPr>
      <w:t>Ljubljana</w:t>
    </w:r>
    <w:r w:rsidR="009C77A1" w:rsidRPr="00EC2F5E">
      <w:rPr>
        <w:rFonts w:cs="Arial"/>
        <w:color w:val="231F20"/>
      </w:rPr>
      <w:t>,</w:t>
    </w:r>
    <w:r w:rsidR="009C77A1" w:rsidRPr="00EC2F5E">
      <w:rPr>
        <w:rFonts w:cs="Arial"/>
        <w:color w:val="231F20"/>
        <w:spacing w:val="9"/>
      </w:rPr>
      <w:t xml:space="preserve"> </w:t>
    </w:r>
    <w:r w:rsidR="009C77A1" w:rsidRPr="00EC2F5E">
      <w:rPr>
        <w:rFonts w:cs="Arial"/>
        <w:color w:val="231F20"/>
        <w:spacing w:val="-3"/>
      </w:rPr>
      <w:t>t</w:t>
    </w:r>
    <w:r w:rsidR="009C77A1" w:rsidRPr="00EC2F5E">
      <w:rPr>
        <w:rFonts w:cs="Arial"/>
        <w:color w:val="231F20"/>
        <w:spacing w:val="-2"/>
      </w:rPr>
      <w:t>el</w:t>
    </w:r>
    <w:r w:rsidR="009C77A1" w:rsidRPr="00EC2F5E">
      <w:rPr>
        <w:rFonts w:cs="Arial"/>
        <w:color w:val="231F20"/>
        <w:spacing w:val="-3"/>
      </w:rPr>
      <w:t>e</w:t>
    </w:r>
    <w:r w:rsidR="009C77A1" w:rsidRPr="00EC2F5E">
      <w:rPr>
        <w:rFonts w:cs="Arial"/>
        <w:color w:val="231F20"/>
        <w:spacing w:val="-4"/>
      </w:rPr>
      <w:t>f</w:t>
    </w:r>
    <w:r w:rsidR="009C77A1" w:rsidRPr="00EC2F5E">
      <w:rPr>
        <w:rFonts w:cs="Arial"/>
        <w:color w:val="231F20"/>
        <w:spacing w:val="-2"/>
      </w:rPr>
      <w:t>on</w:t>
    </w:r>
    <w:r w:rsidR="009C77A1" w:rsidRPr="00EC2F5E">
      <w:rPr>
        <w:rFonts w:cs="Arial"/>
        <w:color w:val="231F20"/>
      </w:rPr>
      <w:t>:</w:t>
    </w:r>
    <w:r w:rsidR="009C77A1" w:rsidRPr="00EC2F5E">
      <w:rPr>
        <w:rFonts w:cs="Arial"/>
        <w:color w:val="231F20"/>
        <w:spacing w:val="13"/>
      </w:rPr>
      <w:t xml:space="preserve"> </w:t>
    </w:r>
    <w:r w:rsidR="009C77A1" w:rsidRPr="00EC2F5E">
      <w:rPr>
        <w:rFonts w:cs="Arial"/>
        <w:color w:val="231F20"/>
        <w:spacing w:val="-3"/>
      </w:rPr>
      <w:t>0</w:t>
    </w:r>
    <w:r w:rsidR="009C77A1" w:rsidRPr="00EC2F5E">
      <w:rPr>
        <w:rFonts w:cs="Arial"/>
        <w:color w:val="231F20"/>
      </w:rPr>
      <w:t>1</w:t>
    </w:r>
    <w:r w:rsidR="009C77A1" w:rsidRPr="00EC2F5E">
      <w:rPr>
        <w:rFonts w:cs="Arial"/>
        <w:color w:val="231F20"/>
        <w:spacing w:val="14"/>
      </w:rPr>
      <w:t xml:space="preserve"> </w:t>
    </w:r>
    <w:r w:rsidR="009C77A1" w:rsidRPr="00EC2F5E">
      <w:rPr>
        <w:rFonts w:cs="Arial"/>
        <w:color w:val="231F20"/>
        <w:spacing w:val="-2"/>
      </w:rPr>
      <w:t>58</w:t>
    </w:r>
    <w:r w:rsidR="009C77A1" w:rsidRPr="00EC2F5E">
      <w:rPr>
        <w:rFonts w:cs="Arial"/>
        <w:color w:val="231F20"/>
      </w:rPr>
      <w:t>3</w:t>
    </w:r>
    <w:r w:rsidR="009C77A1" w:rsidRPr="00EC2F5E">
      <w:rPr>
        <w:rFonts w:cs="Arial"/>
        <w:color w:val="231F20"/>
        <w:spacing w:val="13"/>
      </w:rPr>
      <w:t xml:space="preserve"> </w:t>
    </w:r>
    <w:r w:rsidR="009C77A1" w:rsidRPr="00EC2F5E">
      <w:rPr>
        <w:rFonts w:cs="Arial"/>
        <w:color w:val="231F20"/>
        <w:spacing w:val="-2"/>
      </w:rPr>
      <w:t>6</w:t>
    </w:r>
    <w:r w:rsidR="009C77A1" w:rsidRPr="00EC2F5E">
      <w:rPr>
        <w:rFonts w:cs="Arial"/>
        <w:color w:val="231F20"/>
      </w:rPr>
      <w:t>3</w:t>
    </w:r>
    <w:r w:rsidR="009C77A1" w:rsidRPr="00EC2F5E">
      <w:rPr>
        <w:rFonts w:cs="Arial"/>
        <w:color w:val="231F20"/>
        <w:spacing w:val="14"/>
      </w:rPr>
      <w:t xml:space="preserve"> </w:t>
    </w:r>
    <w:r w:rsidR="009C77A1" w:rsidRPr="00EC2F5E">
      <w:rPr>
        <w:rFonts w:cs="Arial"/>
        <w:color w:val="231F20"/>
        <w:spacing w:val="-2"/>
      </w:rPr>
      <w:t>00</w:t>
    </w:r>
    <w:r w:rsidR="009C77A1" w:rsidRPr="00EC2F5E">
      <w:rPr>
        <w:rFonts w:cs="Arial"/>
        <w:color w:val="231F20"/>
      </w:rPr>
      <w:t>,</w:t>
    </w:r>
    <w:r w:rsidR="009C77A1" w:rsidRPr="00EC2F5E">
      <w:rPr>
        <w:rFonts w:cs="Arial"/>
        <w:color w:val="231F20"/>
        <w:spacing w:val="9"/>
      </w:rPr>
      <w:t xml:space="preserve"> </w:t>
    </w:r>
    <w:r w:rsidR="009C77A1" w:rsidRPr="00EC2F5E">
      <w:rPr>
        <w:rFonts w:cs="Arial"/>
        <w:color w:val="231F20"/>
        <w:spacing w:val="-4"/>
      </w:rPr>
      <w:t>f</w:t>
    </w:r>
    <w:r w:rsidR="009C77A1" w:rsidRPr="00EC2F5E">
      <w:rPr>
        <w:rFonts w:cs="Arial"/>
        <w:color w:val="231F20"/>
        <w:spacing w:val="-2"/>
      </w:rPr>
      <w:t>a</w:t>
    </w:r>
    <w:r w:rsidR="009C77A1" w:rsidRPr="00EC2F5E">
      <w:rPr>
        <w:rFonts w:cs="Arial"/>
        <w:color w:val="231F20"/>
        <w:spacing w:val="-3"/>
      </w:rPr>
      <w:t>ks</w:t>
    </w:r>
    <w:r w:rsidR="009C77A1" w:rsidRPr="00EC2F5E">
      <w:rPr>
        <w:rFonts w:cs="Arial"/>
        <w:color w:val="231F20"/>
      </w:rPr>
      <w:t>:</w:t>
    </w:r>
    <w:r w:rsidR="009C77A1" w:rsidRPr="00EC2F5E">
      <w:rPr>
        <w:rFonts w:cs="Arial"/>
        <w:color w:val="231F20"/>
        <w:spacing w:val="13"/>
      </w:rPr>
      <w:t xml:space="preserve"> </w:t>
    </w:r>
    <w:r w:rsidR="009C77A1" w:rsidRPr="00EC2F5E">
      <w:rPr>
        <w:rFonts w:cs="Arial"/>
        <w:color w:val="231F20"/>
        <w:spacing w:val="-3"/>
      </w:rPr>
      <w:t>0</w:t>
    </w:r>
    <w:r w:rsidR="009C77A1" w:rsidRPr="00EC2F5E">
      <w:rPr>
        <w:rFonts w:cs="Arial"/>
        <w:color w:val="231F20"/>
      </w:rPr>
      <w:t>1</w:t>
    </w:r>
    <w:r w:rsidR="009C77A1" w:rsidRPr="00EC2F5E">
      <w:rPr>
        <w:rFonts w:cs="Arial"/>
        <w:color w:val="231F20"/>
        <w:spacing w:val="14"/>
      </w:rPr>
      <w:t xml:space="preserve"> </w:t>
    </w:r>
    <w:r w:rsidR="009C77A1" w:rsidRPr="00EC2F5E">
      <w:rPr>
        <w:rFonts w:cs="Arial"/>
        <w:color w:val="231F20"/>
        <w:spacing w:val="-3"/>
      </w:rPr>
      <w:t>51</w:t>
    </w:r>
    <w:r w:rsidR="009C77A1" w:rsidRPr="00EC2F5E">
      <w:rPr>
        <w:rFonts w:cs="Arial"/>
        <w:color w:val="231F20"/>
      </w:rPr>
      <w:t>1</w:t>
    </w:r>
    <w:r w:rsidR="009C77A1" w:rsidRPr="00EC2F5E">
      <w:rPr>
        <w:rFonts w:cs="Arial"/>
        <w:color w:val="231F20"/>
        <w:spacing w:val="13"/>
      </w:rPr>
      <w:t xml:space="preserve"> </w:t>
    </w:r>
    <w:r w:rsidR="009C77A1" w:rsidRPr="00EC2F5E">
      <w:rPr>
        <w:rFonts w:cs="Arial"/>
        <w:color w:val="231F20"/>
        <w:spacing w:val="-3"/>
      </w:rPr>
      <w:t>1</w:t>
    </w:r>
    <w:r w:rsidR="009C77A1" w:rsidRPr="00EC2F5E">
      <w:rPr>
        <w:rFonts w:cs="Arial"/>
        <w:color w:val="231F20"/>
      </w:rPr>
      <w:t>1</w:t>
    </w:r>
    <w:r w:rsidR="009C77A1" w:rsidRPr="00EC2F5E">
      <w:rPr>
        <w:rFonts w:cs="Arial"/>
        <w:color w:val="231F20"/>
        <w:spacing w:val="14"/>
      </w:rPr>
      <w:t xml:space="preserve"> </w:t>
    </w:r>
    <w:r w:rsidR="009C77A1" w:rsidRPr="00EC2F5E">
      <w:rPr>
        <w:rFonts w:cs="Arial"/>
        <w:color w:val="231F20"/>
        <w:spacing w:val="-3"/>
      </w:rPr>
      <w:t>01</w:t>
    </w:r>
    <w:r w:rsidR="009C77A1" w:rsidRPr="00EC2F5E">
      <w:rPr>
        <w:rFonts w:cs="Arial"/>
        <w:color w:val="231F20"/>
      </w:rPr>
      <w:t>,</w:t>
    </w:r>
    <w:r w:rsidR="009C77A1" w:rsidRPr="00EC2F5E">
      <w:rPr>
        <w:rFonts w:cs="Arial"/>
        <w:color w:val="231F20"/>
        <w:spacing w:val="13"/>
      </w:rPr>
      <w:t xml:space="preserve"> </w:t>
    </w:r>
    <w:r w:rsidR="009C77A1" w:rsidRPr="00EC2F5E">
      <w:rPr>
        <w:rFonts w:cs="Arial"/>
        <w:color w:val="231F20"/>
        <w:spacing w:val="-2"/>
      </w:rPr>
      <w:t>e-nasl</w:t>
    </w:r>
    <w:r w:rsidR="009C77A1" w:rsidRPr="00EC2F5E">
      <w:rPr>
        <w:rFonts w:cs="Arial"/>
        <w:color w:val="231F20"/>
        <w:spacing w:val="-5"/>
      </w:rPr>
      <w:t>o</w:t>
    </w:r>
    <w:r w:rsidR="009C77A1" w:rsidRPr="00EC2F5E">
      <w:rPr>
        <w:rFonts w:cs="Arial"/>
        <w:color w:val="231F20"/>
        <w:spacing w:val="-4"/>
      </w:rPr>
      <w:t>v</w:t>
    </w:r>
    <w:r w:rsidR="009C77A1" w:rsidRPr="00EC2F5E">
      <w:rPr>
        <w:rFonts w:cs="Arial"/>
        <w:color w:val="231F20"/>
      </w:rPr>
      <w:t>:</w:t>
    </w:r>
    <w:r w:rsidR="009C77A1" w:rsidRPr="00EC2F5E">
      <w:rPr>
        <w:rFonts w:cs="Arial"/>
        <w:color w:val="231F20"/>
        <w:spacing w:val="14"/>
      </w:rPr>
      <w:t xml:space="preserve"> </w:t>
    </w:r>
    <w:hyperlink r:id="rId1">
      <w:r w:rsidR="009C77A1" w:rsidRPr="00EC2F5E">
        <w:rPr>
          <w:rFonts w:cs="Arial"/>
          <w:color w:val="231F20"/>
          <w:spacing w:val="-2"/>
        </w:rPr>
        <w:t>i</w:t>
      </w:r>
      <w:r w:rsidR="009C77A1" w:rsidRPr="00EC2F5E">
        <w:rPr>
          <w:rFonts w:cs="Arial"/>
          <w:color w:val="231F20"/>
          <w:spacing w:val="-4"/>
        </w:rPr>
        <w:t>nf</w:t>
      </w:r>
      <w:r w:rsidR="009C77A1" w:rsidRPr="00EC2F5E">
        <w:rPr>
          <w:rFonts w:cs="Arial"/>
          <w:color w:val="231F20"/>
          <w:spacing w:val="-2"/>
        </w:rPr>
        <w:t>o.b</w:t>
      </w:r>
      <w:r w:rsidR="009C77A1" w:rsidRPr="00EC2F5E">
        <w:rPr>
          <w:rFonts w:cs="Arial"/>
          <w:color w:val="231F20"/>
          <w:spacing w:val="-5"/>
        </w:rPr>
        <w:t>o</w:t>
      </w:r>
      <w:r w:rsidR="009C77A1" w:rsidRPr="00EC2F5E">
        <w:rPr>
          <w:rFonts w:cs="Arial"/>
          <w:color w:val="231F20"/>
          <w:spacing w:val="-3"/>
        </w:rPr>
        <w:t>x@a</w:t>
      </w:r>
      <w:r w:rsidR="009C77A1" w:rsidRPr="00EC2F5E">
        <w:rPr>
          <w:rFonts w:cs="Arial"/>
          <w:color w:val="231F20"/>
          <w:spacing w:val="-8"/>
        </w:rPr>
        <w:t>k</w:t>
      </w:r>
      <w:r w:rsidR="009C77A1" w:rsidRPr="00EC2F5E">
        <w:rPr>
          <w:rFonts w:cs="Arial"/>
          <w:color w:val="231F20"/>
          <w:spacing w:val="-2"/>
        </w:rPr>
        <w:t>o</w:t>
      </w:r>
      <w:r w:rsidR="009C77A1" w:rsidRPr="00EC2F5E">
        <w:rPr>
          <w:rFonts w:cs="Arial"/>
          <w:color w:val="231F20"/>
          <w:spacing w:val="-3"/>
        </w:rPr>
        <w:t>s</w:t>
      </w:r>
      <w:r w:rsidR="009C77A1" w:rsidRPr="00EC2F5E">
        <w:rPr>
          <w:rFonts w:cs="Arial"/>
          <w:color w:val="231F20"/>
          <w:spacing w:val="-2"/>
        </w:rPr>
        <w:t>-rs.si</w:t>
      </w:r>
      <w:r w:rsidR="009C77A1" w:rsidRPr="00EC2F5E">
        <w:rPr>
          <w:rFonts w:cs="Arial"/>
          <w:color w:val="231F20"/>
        </w:rPr>
        <w:t>,</w:t>
      </w:r>
      <w:r w:rsidR="009C77A1" w:rsidRPr="00EC2F5E">
        <w:rPr>
          <w:rFonts w:cs="Arial"/>
          <w:color w:val="231F20"/>
          <w:spacing w:val="9"/>
        </w:rPr>
        <w:t xml:space="preserve"> </w:t>
      </w:r>
    </w:hyperlink>
    <w:hyperlink r:id="rId2">
      <w:r w:rsidR="009C77A1" w:rsidRPr="00EC2F5E">
        <w:rPr>
          <w:rFonts w:cs="Arial"/>
          <w:color w:val="231F20"/>
          <w:spacing w:val="-2"/>
        </w:rPr>
        <w:t>ww</w:t>
      </w:r>
      <w:r w:rsidR="009C77A1" w:rsidRPr="00EC2F5E">
        <w:rPr>
          <w:rFonts w:cs="Arial"/>
          <w:color w:val="231F20"/>
          <w:spacing w:val="-6"/>
        </w:rPr>
        <w:t>w</w:t>
      </w:r>
      <w:r w:rsidR="009C77A1" w:rsidRPr="00EC2F5E">
        <w:rPr>
          <w:rFonts w:cs="Arial"/>
          <w:color w:val="231F20"/>
          <w:spacing w:val="-3"/>
        </w:rPr>
        <w:t>.a</w:t>
      </w:r>
      <w:r w:rsidR="009C77A1" w:rsidRPr="00EC2F5E">
        <w:rPr>
          <w:rFonts w:cs="Arial"/>
          <w:color w:val="231F20"/>
          <w:spacing w:val="-8"/>
        </w:rPr>
        <w:t>k</w:t>
      </w:r>
      <w:r w:rsidR="009C77A1" w:rsidRPr="00EC2F5E">
        <w:rPr>
          <w:rFonts w:cs="Arial"/>
          <w:color w:val="231F20"/>
          <w:spacing w:val="-2"/>
        </w:rPr>
        <w:t>o</w:t>
      </w:r>
      <w:r w:rsidR="009C77A1" w:rsidRPr="00EC2F5E">
        <w:rPr>
          <w:rFonts w:cs="Arial"/>
          <w:color w:val="231F20"/>
          <w:spacing w:val="-3"/>
        </w:rPr>
        <w:t>s</w:t>
      </w:r>
      <w:r w:rsidR="009C77A1" w:rsidRPr="00EC2F5E">
        <w:rPr>
          <w:rFonts w:cs="Arial"/>
          <w:color w:val="231F20"/>
          <w:spacing w:val="-2"/>
        </w:rPr>
        <w:t>-rs.si</w:t>
      </w:r>
      <w:r w:rsidR="009C77A1" w:rsidRPr="00EC2F5E">
        <w:rPr>
          <w:rFonts w:cs="Arial"/>
          <w:color w:val="231F20"/>
        </w:rPr>
        <w:t>,</w:t>
      </w:r>
      <w:r w:rsidR="009C77A1" w:rsidRPr="00EC2F5E">
        <w:rPr>
          <w:rFonts w:cs="Arial"/>
          <w:color w:val="231F20"/>
          <w:spacing w:val="13"/>
        </w:rPr>
        <w:t xml:space="preserve"> </w:t>
      </w:r>
    </w:hyperlink>
    <w:r w:rsidR="009C77A1" w:rsidRPr="00EC2F5E">
      <w:rPr>
        <w:rFonts w:cs="Arial"/>
        <w:color w:val="231F20"/>
        <w:spacing w:val="-2"/>
      </w:rPr>
      <w:t>da</w:t>
    </w:r>
    <w:r w:rsidR="009C77A1" w:rsidRPr="00EC2F5E">
      <w:rPr>
        <w:rFonts w:cs="Arial"/>
        <w:color w:val="231F20"/>
        <w:spacing w:val="-5"/>
      </w:rPr>
      <w:t>v</w:t>
    </w:r>
    <w:r w:rsidR="009C77A1" w:rsidRPr="00EC2F5E">
      <w:rPr>
        <w:rFonts w:cs="Arial"/>
        <w:color w:val="231F20"/>
        <w:spacing w:val="-2"/>
      </w:rPr>
      <w:t>čn</w:t>
    </w:r>
    <w:r w:rsidR="009C77A1" w:rsidRPr="00EC2F5E">
      <w:rPr>
        <w:rFonts w:cs="Arial"/>
        <w:color w:val="231F20"/>
      </w:rPr>
      <w:t>a</w:t>
    </w:r>
    <w:r w:rsidR="009C77A1" w:rsidRPr="00EC2F5E">
      <w:rPr>
        <w:rFonts w:cs="Arial"/>
        <w:color w:val="231F20"/>
        <w:spacing w:val="14"/>
      </w:rPr>
      <w:t xml:space="preserve"> </w:t>
    </w:r>
    <w:r w:rsidR="009C77A1" w:rsidRPr="00EC2F5E">
      <w:rPr>
        <w:rFonts w:cs="Arial"/>
        <w:color w:val="231F20"/>
        <w:spacing w:val="-2"/>
      </w:rPr>
      <w:t>št.</w:t>
    </w:r>
    <w:r w:rsidR="009C77A1" w:rsidRPr="00EC2F5E">
      <w:rPr>
        <w:rFonts w:cs="Arial"/>
        <w:color w:val="231F20"/>
      </w:rPr>
      <w:t>:</w:t>
    </w:r>
    <w:r w:rsidR="009C77A1" w:rsidRPr="00EC2F5E">
      <w:rPr>
        <w:rFonts w:cs="Arial"/>
        <w:color w:val="231F20"/>
        <w:spacing w:val="-2"/>
      </w:rPr>
      <w:t xml:space="preserve">10482369       </w:t>
    </w:r>
  </w:p>
  <w:p w14:paraId="52668608" w14:textId="77777777" w:rsidR="00EC2F5E" w:rsidRPr="00EC2F5E" w:rsidRDefault="00EC2F5E" w:rsidP="009C77A1">
    <w:pPr>
      <w:spacing w:before="4" w:line="150" w:lineRule="exac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DC36" w14:textId="77777777" w:rsidR="005941B7" w:rsidRDefault="005941B7" w:rsidP="00184F9B">
      <w:pPr>
        <w:spacing w:line="240" w:lineRule="auto"/>
      </w:pPr>
      <w:r>
        <w:separator/>
      </w:r>
    </w:p>
  </w:footnote>
  <w:footnote w:type="continuationSeparator" w:id="0">
    <w:p w14:paraId="4645A83C" w14:textId="77777777" w:rsidR="005941B7" w:rsidRDefault="005941B7" w:rsidP="00184F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5E79" w14:textId="77777777" w:rsidR="003B0F4B" w:rsidRDefault="00DC463A" w:rsidP="003B0F4B">
    <w:pPr>
      <w:pStyle w:val="Glava"/>
      <w:ind w:left="-1560"/>
    </w:pPr>
    <w:r>
      <w:rPr>
        <w:noProof/>
        <w:lang w:val="sl-SI" w:eastAsia="sl-SI"/>
      </w:rPr>
      <w:drawing>
        <wp:inline distT="0" distB="0" distL="0" distR="0" wp14:anchorId="76FD76D2" wp14:editId="74C44781">
          <wp:extent cx="2191056" cy="981212"/>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FD1D" w14:textId="77777777" w:rsidR="009F2DC5" w:rsidRDefault="00286F76" w:rsidP="007109AE">
    <w:pPr>
      <w:pStyle w:val="Glava"/>
      <w:ind w:left="-1560"/>
    </w:pPr>
    <w:r w:rsidRPr="00376972">
      <w:rPr>
        <w:noProof/>
        <w:lang w:val="sl-SI" w:eastAsia="sl-SI"/>
      </w:rPr>
      <w:drawing>
        <wp:inline distT="0" distB="0" distL="0" distR="0" wp14:anchorId="28F80B63" wp14:editId="4ED9A19E">
          <wp:extent cx="2201287" cy="9810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14:paraId="16C93514" w14:textId="77777777" w:rsidR="009F2DC5" w:rsidRDefault="009F2DC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B578" w14:textId="77777777" w:rsidR="009C77A1" w:rsidRDefault="009C77A1" w:rsidP="009C77A1">
    <w:pPr>
      <w:pStyle w:val="Glava"/>
      <w:ind w:left="-1560"/>
    </w:pPr>
    <w:r>
      <w:rPr>
        <w:noProof/>
        <w:lang w:val="sl-SI" w:eastAsia="sl-SI"/>
      </w:rPr>
      <w:drawing>
        <wp:inline distT="0" distB="0" distL="0" distR="0" wp14:anchorId="10F8122F" wp14:editId="17DE5F2E">
          <wp:extent cx="2190750" cy="97731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6C6F"/>
    <w:multiLevelType w:val="hybridMultilevel"/>
    <w:tmpl w:val="89B8BE12"/>
    <w:lvl w:ilvl="0" w:tplc="A47252D6">
      <w:numFmt w:val="bullet"/>
      <w:lvlText w:val="-"/>
      <w:lvlJc w:val="left"/>
      <w:pPr>
        <w:ind w:left="1440" w:hanging="360"/>
      </w:pPr>
      <w:rPr>
        <w:rFonts w:ascii="Calibri" w:eastAsia="Calibri" w:hAnsi="Calibri" w:cs="Calibri" w:hint="default"/>
      </w:rPr>
    </w:lvl>
    <w:lvl w:ilvl="1" w:tplc="04240017">
      <w:start w:val="1"/>
      <w:numFmt w:val="lowerLetter"/>
      <w:lvlText w:val="%2)"/>
      <w:lvlJc w:val="lef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638356B1"/>
    <w:multiLevelType w:val="hybridMultilevel"/>
    <w:tmpl w:val="B8181D3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11C0C9A"/>
    <w:multiLevelType w:val="hybridMultilevel"/>
    <w:tmpl w:val="194493A4"/>
    <w:lvl w:ilvl="0" w:tplc="D49279A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B7"/>
    <w:rsid w:val="00034767"/>
    <w:rsid w:val="00046768"/>
    <w:rsid w:val="00052578"/>
    <w:rsid w:val="00093501"/>
    <w:rsid w:val="000939E8"/>
    <w:rsid w:val="00096860"/>
    <w:rsid w:val="000D3E31"/>
    <w:rsid w:val="000D77F4"/>
    <w:rsid w:val="000F2C1E"/>
    <w:rsid w:val="000F3A46"/>
    <w:rsid w:val="001012AF"/>
    <w:rsid w:val="00101985"/>
    <w:rsid w:val="0015003B"/>
    <w:rsid w:val="00165089"/>
    <w:rsid w:val="001717CF"/>
    <w:rsid w:val="00180C7D"/>
    <w:rsid w:val="00184F9B"/>
    <w:rsid w:val="001A65F2"/>
    <w:rsid w:val="001B34B8"/>
    <w:rsid w:val="001B5F68"/>
    <w:rsid w:val="001C1D97"/>
    <w:rsid w:val="001D4243"/>
    <w:rsid w:val="001F3348"/>
    <w:rsid w:val="001F5FC4"/>
    <w:rsid w:val="002235DF"/>
    <w:rsid w:val="00227FD4"/>
    <w:rsid w:val="00246A5A"/>
    <w:rsid w:val="002507E5"/>
    <w:rsid w:val="00264FF8"/>
    <w:rsid w:val="00265280"/>
    <w:rsid w:val="002840D9"/>
    <w:rsid w:val="00286F76"/>
    <w:rsid w:val="00287642"/>
    <w:rsid w:val="002B5D31"/>
    <w:rsid w:val="002E1C8B"/>
    <w:rsid w:val="002F422F"/>
    <w:rsid w:val="002F6DF3"/>
    <w:rsid w:val="00332CDE"/>
    <w:rsid w:val="00353D6D"/>
    <w:rsid w:val="003614DA"/>
    <w:rsid w:val="0037751A"/>
    <w:rsid w:val="00384FD4"/>
    <w:rsid w:val="00390988"/>
    <w:rsid w:val="003B0F4B"/>
    <w:rsid w:val="003B53DB"/>
    <w:rsid w:val="003F0047"/>
    <w:rsid w:val="004054AA"/>
    <w:rsid w:val="00415676"/>
    <w:rsid w:val="004B275D"/>
    <w:rsid w:val="004E2E3C"/>
    <w:rsid w:val="004E70ED"/>
    <w:rsid w:val="00553423"/>
    <w:rsid w:val="005725A3"/>
    <w:rsid w:val="00582E1A"/>
    <w:rsid w:val="005941B7"/>
    <w:rsid w:val="005A6830"/>
    <w:rsid w:val="005B2EBD"/>
    <w:rsid w:val="005B412A"/>
    <w:rsid w:val="005B6811"/>
    <w:rsid w:val="00623217"/>
    <w:rsid w:val="00632D38"/>
    <w:rsid w:val="00671759"/>
    <w:rsid w:val="00687FBF"/>
    <w:rsid w:val="006E1F9E"/>
    <w:rsid w:val="0070618B"/>
    <w:rsid w:val="007109AE"/>
    <w:rsid w:val="0072526B"/>
    <w:rsid w:val="00752118"/>
    <w:rsid w:val="00754BB2"/>
    <w:rsid w:val="0075699D"/>
    <w:rsid w:val="00790DD2"/>
    <w:rsid w:val="007B3209"/>
    <w:rsid w:val="007C0A5F"/>
    <w:rsid w:val="007D5C8F"/>
    <w:rsid w:val="007E48BB"/>
    <w:rsid w:val="007E7276"/>
    <w:rsid w:val="007F0A1A"/>
    <w:rsid w:val="007F17B6"/>
    <w:rsid w:val="007F47D8"/>
    <w:rsid w:val="00805E98"/>
    <w:rsid w:val="00825E10"/>
    <w:rsid w:val="00842478"/>
    <w:rsid w:val="00852766"/>
    <w:rsid w:val="00882C50"/>
    <w:rsid w:val="008C600E"/>
    <w:rsid w:val="00905A78"/>
    <w:rsid w:val="009063F0"/>
    <w:rsid w:val="00932B2E"/>
    <w:rsid w:val="00995E44"/>
    <w:rsid w:val="009C77A1"/>
    <w:rsid w:val="009E2021"/>
    <w:rsid w:val="009F2DC5"/>
    <w:rsid w:val="00A00E3D"/>
    <w:rsid w:val="00A24E80"/>
    <w:rsid w:val="00A34F26"/>
    <w:rsid w:val="00A95785"/>
    <w:rsid w:val="00AA77E5"/>
    <w:rsid w:val="00AB1298"/>
    <w:rsid w:val="00AC2EF7"/>
    <w:rsid w:val="00AC6A05"/>
    <w:rsid w:val="00AD53F4"/>
    <w:rsid w:val="00AE5024"/>
    <w:rsid w:val="00AE57F7"/>
    <w:rsid w:val="00AF47AB"/>
    <w:rsid w:val="00B1515D"/>
    <w:rsid w:val="00B17F71"/>
    <w:rsid w:val="00B5599B"/>
    <w:rsid w:val="00B63BE5"/>
    <w:rsid w:val="00B7189A"/>
    <w:rsid w:val="00B76FDA"/>
    <w:rsid w:val="00B81AE2"/>
    <w:rsid w:val="00BD5229"/>
    <w:rsid w:val="00BE4DED"/>
    <w:rsid w:val="00C3699C"/>
    <w:rsid w:val="00C60618"/>
    <w:rsid w:val="00C86C9B"/>
    <w:rsid w:val="00C96519"/>
    <w:rsid w:val="00C96E02"/>
    <w:rsid w:val="00C97899"/>
    <w:rsid w:val="00CD4AA2"/>
    <w:rsid w:val="00CE5633"/>
    <w:rsid w:val="00D0250F"/>
    <w:rsid w:val="00D26294"/>
    <w:rsid w:val="00D3352A"/>
    <w:rsid w:val="00D50185"/>
    <w:rsid w:val="00D54A42"/>
    <w:rsid w:val="00D56DCB"/>
    <w:rsid w:val="00D60A0C"/>
    <w:rsid w:val="00D670DD"/>
    <w:rsid w:val="00D7103A"/>
    <w:rsid w:val="00D71E99"/>
    <w:rsid w:val="00D83425"/>
    <w:rsid w:val="00DB1875"/>
    <w:rsid w:val="00DB7390"/>
    <w:rsid w:val="00DC463A"/>
    <w:rsid w:val="00DD7A47"/>
    <w:rsid w:val="00DF0FFA"/>
    <w:rsid w:val="00DF3E67"/>
    <w:rsid w:val="00E048D8"/>
    <w:rsid w:val="00E2312B"/>
    <w:rsid w:val="00E439B6"/>
    <w:rsid w:val="00E66377"/>
    <w:rsid w:val="00EA1FFA"/>
    <w:rsid w:val="00EA3ACB"/>
    <w:rsid w:val="00EB414C"/>
    <w:rsid w:val="00EC2F5E"/>
    <w:rsid w:val="00EC3705"/>
    <w:rsid w:val="00ED3012"/>
    <w:rsid w:val="00ED7BC0"/>
    <w:rsid w:val="00EF24B7"/>
    <w:rsid w:val="00EF5954"/>
    <w:rsid w:val="00EF7D74"/>
    <w:rsid w:val="00F00295"/>
    <w:rsid w:val="00F103CF"/>
    <w:rsid w:val="00F24871"/>
    <w:rsid w:val="00F42929"/>
    <w:rsid w:val="00F53CE8"/>
    <w:rsid w:val="00F63571"/>
    <w:rsid w:val="00F813F1"/>
    <w:rsid w:val="00F82317"/>
    <w:rsid w:val="00F90370"/>
    <w:rsid w:val="00F96971"/>
    <w:rsid w:val="00FA5595"/>
    <w:rsid w:val="00FA72F4"/>
    <w:rsid w:val="00FB1540"/>
    <w:rsid w:val="00FB4203"/>
    <w:rsid w:val="00FC2AA0"/>
    <w:rsid w:val="00FE4206"/>
    <w:rsid w:val="00FE6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C563F"/>
  <w15:docId w15:val="{F94FD582-8D0B-4737-A77F-9C55EEF6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C60618"/>
    <w:pPr>
      <w:spacing w:line="360" w:lineRule="auto"/>
    </w:pPr>
  </w:style>
  <w:style w:type="paragraph" w:styleId="Naslov1">
    <w:name w:val="heading 1"/>
    <w:basedOn w:val="Navaden"/>
    <w:uiPriority w:val="1"/>
    <w:qFormat/>
    <w:pPr>
      <w:ind w:left="328"/>
      <w:outlineLvl w:val="0"/>
    </w:pPr>
    <w:rPr>
      <w:rFonts w:eastAsia="Calibri"/>
      <w:sz w:val="28"/>
      <w:szCs w:val="28"/>
    </w:rPr>
  </w:style>
  <w:style w:type="paragraph" w:styleId="Naslov2">
    <w:name w:val="heading 2"/>
    <w:basedOn w:val="Navaden"/>
    <w:uiPriority w:val="1"/>
    <w:qFormat/>
    <w:pPr>
      <w:ind w:left="328"/>
      <w:outlineLvl w:val="1"/>
    </w:pPr>
    <w:rPr>
      <w:rFonts w:eastAsia="Calibri"/>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365"/>
    </w:pPr>
    <w:rPr>
      <w:rFonts w:ascii="Arial" w:eastAsia="Arial" w:hAnsi="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C600E"/>
    <w:rPr>
      <w:color w:val="808080"/>
    </w:rPr>
  </w:style>
  <w:style w:type="character" w:customStyle="1" w:styleId="markedcontent">
    <w:name w:val="markedcontent"/>
    <w:basedOn w:val="Privzetapisavaodstavka"/>
    <w:rsid w:val="00EA3ACB"/>
  </w:style>
  <w:style w:type="character" w:styleId="Pripombasklic">
    <w:name w:val="annotation reference"/>
    <w:basedOn w:val="Privzetapisavaodstavka"/>
    <w:uiPriority w:val="99"/>
    <w:semiHidden/>
    <w:unhideWhenUsed/>
    <w:rsid w:val="00E048D8"/>
    <w:rPr>
      <w:sz w:val="16"/>
      <w:szCs w:val="16"/>
    </w:rPr>
  </w:style>
  <w:style w:type="paragraph" w:styleId="Pripombabesedilo">
    <w:name w:val="annotation text"/>
    <w:basedOn w:val="Navaden"/>
    <w:link w:val="PripombabesediloZnak"/>
    <w:uiPriority w:val="99"/>
    <w:semiHidden/>
    <w:unhideWhenUsed/>
    <w:rsid w:val="00E048D8"/>
    <w:pPr>
      <w:spacing w:line="240" w:lineRule="auto"/>
    </w:pPr>
  </w:style>
  <w:style w:type="character" w:customStyle="1" w:styleId="PripombabesediloZnak">
    <w:name w:val="Pripomba – besedilo Znak"/>
    <w:basedOn w:val="Privzetapisavaodstavka"/>
    <w:link w:val="Pripombabesedilo"/>
    <w:uiPriority w:val="99"/>
    <w:semiHidden/>
    <w:rsid w:val="00E048D8"/>
  </w:style>
  <w:style w:type="paragraph" w:styleId="Zadevapripombe">
    <w:name w:val="annotation subject"/>
    <w:basedOn w:val="Pripombabesedilo"/>
    <w:next w:val="Pripombabesedilo"/>
    <w:link w:val="ZadevapripombeZnak"/>
    <w:uiPriority w:val="99"/>
    <w:semiHidden/>
    <w:unhideWhenUsed/>
    <w:rsid w:val="00E048D8"/>
    <w:rPr>
      <w:b/>
      <w:bCs/>
    </w:rPr>
  </w:style>
  <w:style w:type="character" w:customStyle="1" w:styleId="ZadevapripombeZnak">
    <w:name w:val="Zadeva pripombe Znak"/>
    <w:basedOn w:val="PripombabesediloZnak"/>
    <w:link w:val="Zadevapripombe"/>
    <w:uiPriority w:val="99"/>
    <w:semiHidden/>
    <w:rsid w:val="00E0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D23F368C140DEB14783E42EC50CA6"/>
        <w:category>
          <w:name w:val="Splošno"/>
          <w:gallery w:val="placeholder"/>
        </w:category>
        <w:types>
          <w:type w:val="bbPlcHdr"/>
        </w:types>
        <w:behaviors>
          <w:behavior w:val="content"/>
        </w:behaviors>
        <w:guid w:val="{C583330E-2C0B-4552-940C-C252C6179832}"/>
      </w:docPartPr>
      <w:docPartBody>
        <w:p w:rsidR="00126E12" w:rsidRDefault="00126E12">
          <w:pPr>
            <w:pStyle w:val="DA6D23F368C140DEB14783E42EC50CA6"/>
          </w:pPr>
          <w:r w:rsidRPr="004A5B1B">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12"/>
    <w:rsid w:val="00126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DA6D23F368C140DEB14783E42EC50CA6">
    <w:name w:val="DA6D23F368C140DEB14783E42EC50CA6"/>
  </w:style>
  <w:style w:type="paragraph" w:customStyle="1" w:styleId="110AC390D1B84172B9538EB40E3657C3">
    <w:name w:val="110AC390D1B84172B9538EB40E365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BDF1-13D1-4114-BC2B-1ED5891E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Lidija Pak Horvat</dc:creator>
  <cp:lastModifiedBy>Borut Pintar</cp:lastModifiedBy>
  <cp:revision>2</cp:revision>
  <cp:lastPrinted>2022-09-27T09:12:00Z</cp:lastPrinted>
  <dcterms:created xsi:type="dcterms:W3CDTF">2023-01-04T13:02:00Z</dcterms:created>
  <dcterms:modified xsi:type="dcterms:W3CDTF">2023-01-04T13:02:00Z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